
<file path=[Content_Types].xml><?xml version="1.0" encoding="utf-8"?>
<Types xmlns="http://schemas.openxmlformats.org/package/2006/content-types">
  <Default Extension="xml" ContentType="application/xml"/>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0765F01">
      <w:pPr>
        <w:jc w:val="center"/>
        <w:rPr>
          <w:rFonts w:ascii="方正小标宋简体" w:eastAsia="方正小标宋简体"/>
          <w:color w:val="000000" w:themeColor="text1"/>
          <w:sz w:val="36"/>
          <w:szCs w:val="36"/>
          <w14:textFill>
            <w14:solidFill>
              <w14:schemeClr w14:val="tx1"/>
            </w14:solidFill>
          </w14:textFill>
        </w:rPr>
      </w:pPr>
      <w:r>
        <w:rPr>
          <w:rFonts w:hint="eastAsia" w:ascii="方正小标宋简体" w:eastAsia="方正小标宋简体"/>
          <w:color w:val="000000" w:themeColor="text1"/>
          <w:sz w:val="36"/>
          <w:szCs w:val="36"/>
          <w14:textFill>
            <w14:solidFill>
              <w14:schemeClr w14:val="tx1"/>
            </w14:solidFill>
          </w14:textFill>
        </w:rPr>
        <w:t>《食品快速检测产品评价技术规范》</w:t>
      </w:r>
    </w:p>
    <w:p w14:paraId="67176B99">
      <w:pPr>
        <w:jc w:val="center"/>
        <w:rPr>
          <w:rFonts w:ascii="方正小标宋简体" w:eastAsia="方正小标宋简体"/>
          <w:color w:val="000000" w:themeColor="text1"/>
          <w:sz w:val="36"/>
          <w:szCs w:val="36"/>
          <w14:textFill>
            <w14:solidFill>
              <w14:schemeClr w14:val="tx1"/>
            </w14:solidFill>
          </w14:textFill>
        </w:rPr>
      </w:pPr>
      <w:r>
        <w:rPr>
          <w:rFonts w:hint="eastAsia" w:ascii="方正小标宋简体" w:eastAsia="方正小标宋简体"/>
          <w:color w:val="000000" w:themeColor="text1"/>
          <w:sz w:val="36"/>
          <w:szCs w:val="36"/>
          <w14:textFill>
            <w14:solidFill>
              <w14:schemeClr w14:val="tx1"/>
            </w14:solidFill>
          </w14:textFill>
        </w:rPr>
        <w:t>地方标准编制说明</w:t>
      </w:r>
    </w:p>
    <w:p w14:paraId="2EC3F4A8">
      <w:pPr>
        <w:jc w:val="center"/>
        <w:rPr>
          <w:rFonts w:ascii="方正小标宋简体" w:hAnsi="方正粗黑宋简体" w:eastAsia="方正小标宋简体"/>
          <w:color w:val="000000" w:themeColor="text1"/>
          <w:sz w:val="32"/>
          <w:szCs w:val="32"/>
          <w14:textFill>
            <w14:solidFill>
              <w14:schemeClr w14:val="tx1"/>
            </w14:solidFill>
          </w14:textFill>
        </w:rPr>
      </w:pPr>
    </w:p>
    <w:p w14:paraId="2B6C4EF7">
      <w:pPr>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一、工作简况</w:t>
      </w:r>
    </w:p>
    <w:p w14:paraId="558C75D5">
      <w:pPr>
        <w:rPr>
          <w:rFonts w:ascii="楷体_GB2312" w:eastAsia="楷体_GB2312"/>
          <w:color w:val="000000" w:themeColor="text1"/>
          <w:sz w:val="32"/>
          <w:szCs w:val="32"/>
          <w14:textFill>
            <w14:solidFill>
              <w14:schemeClr w14:val="tx1"/>
            </w14:solidFill>
          </w14:textFill>
        </w:rPr>
      </w:pPr>
      <w:r>
        <w:rPr>
          <w:rFonts w:hint="eastAsia" w:ascii="楷体_GB2312" w:eastAsia="楷体_GB2312"/>
          <w:color w:val="000000" w:themeColor="text1"/>
          <w:sz w:val="32"/>
          <w:szCs w:val="32"/>
          <w14:textFill>
            <w14:solidFill>
              <w14:schemeClr w14:val="tx1"/>
            </w14:solidFill>
          </w14:textFill>
        </w:rPr>
        <w:t>（一）任务来源</w:t>
      </w:r>
    </w:p>
    <w:p w14:paraId="72DFFD01">
      <w:pPr>
        <w:ind w:firstLine="640" w:firstLineChars="200"/>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根据《</w:t>
      </w:r>
      <w:r>
        <w:rPr>
          <w:rFonts w:hint="eastAsia" w:ascii="仿宋_GB2312" w:eastAsia="仿宋_GB2312" w:hAnsiTheme="minorEastAsia"/>
          <w:color w:val="000000" w:themeColor="text1"/>
          <w:sz w:val="32"/>
          <w:szCs w:val="32"/>
          <w14:textFill>
            <w14:solidFill>
              <w14:schemeClr w14:val="tx1"/>
            </w14:solidFill>
          </w14:textFill>
        </w:rPr>
        <w:t>江西省市场监管局关于下达2024年第一批江西省地方标准制修订计划的通知</w:t>
      </w:r>
      <w:r>
        <w:rPr>
          <w:rFonts w:hint="eastAsia" w:ascii="仿宋_GB2312" w:eastAsia="仿宋_GB2312"/>
          <w:color w:val="000000" w:themeColor="text1"/>
          <w:sz w:val="32"/>
          <w:szCs w:val="32"/>
          <w14:textFill>
            <w14:solidFill>
              <w14:schemeClr w14:val="tx1"/>
            </w14:solidFill>
          </w14:textFill>
        </w:rPr>
        <w:t>》（</w:t>
      </w:r>
      <w:bookmarkStart w:id="0" w:name="DocNumber"/>
      <w:r>
        <w:rPr>
          <w:rFonts w:hint="eastAsia" w:ascii="仿宋_GB2312" w:eastAsia="仿宋_GB2312" w:hAnsiTheme="minorEastAsia"/>
          <w:color w:val="000000" w:themeColor="text1"/>
          <w:sz w:val="32"/>
          <w:szCs w:val="32"/>
          <w14:textFill>
            <w14:solidFill>
              <w14:schemeClr w14:val="tx1"/>
            </w14:solidFill>
          </w14:textFill>
        </w:rPr>
        <w:t>赣市监标</w:t>
      </w:r>
      <w:r>
        <w:rPr>
          <w:rFonts w:hint="eastAsia" w:ascii="仿宋_GB2312" w:hAnsi="仿宋" w:eastAsia="仿宋_GB2312"/>
          <w:color w:val="000000" w:themeColor="text1"/>
          <w:sz w:val="32"/>
          <w:szCs w:val="32"/>
          <w14:textFill>
            <w14:solidFill>
              <w14:schemeClr w14:val="tx1"/>
            </w14:solidFill>
          </w14:textFill>
        </w:rPr>
        <w:t>〔</w:t>
      </w:r>
      <w:r>
        <w:rPr>
          <w:rFonts w:hint="eastAsia" w:ascii="仿宋_GB2312" w:eastAsia="仿宋_GB2312" w:hAnsiTheme="minorEastAsia"/>
          <w:color w:val="000000" w:themeColor="text1"/>
          <w:sz w:val="32"/>
          <w:szCs w:val="32"/>
          <w14:textFill>
            <w14:solidFill>
              <w14:schemeClr w14:val="tx1"/>
            </w14:solidFill>
          </w14:textFill>
        </w:rPr>
        <w:t>2024</w:t>
      </w:r>
      <w:r>
        <w:rPr>
          <w:rFonts w:hint="eastAsia" w:ascii="仿宋_GB2312" w:hAnsi="仿宋" w:eastAsia="仿宋_GB2312"/>
          <w:color w:val="000000" w:themeColor="text1"/>
          <w:sz w:val="32"/>
          <w:szCs w:val="32"/>
          <w14:textFill>
            <w14:solidFill>
              <w14:schemeClr w14:val="tx1"/>
            </w14:solidFill>
          </w14:textFill>
        </w:rPr>
        <w:t>〕</w:t>
      </w:r>
      <w:r>
        <w:rPr>
          <w:rFonts w:hint="eastAsia" w:ascii="仿宋_GB2312" w:eastAsia="仿宋_GB2312" w:hAnsiTheme="minorEastAsia"/>
          <w:color w:val="000000" w:themeColor="text1"/>
          <w:sz w:val="32"/>
          <w:szCs w:val="32"/>
          <w14:textFill>
            <w14:solidFill>
              <w14:schemeClr w14:val="tx1"/>
            </w14:solidFill>
          </w14:textFill>
        </w:rPr>
        <w:t>3号）</w:t>
      </w:r>
      <w:bookmarkEnd w:id="0"/>
      <w:r>
        <w:rPr>
          <w:rFonts w:hint="eastAsia" w:ascii="仿宋_GB2312" w:hAnsi="仿宋" w:eastAsia="仿宋_GB2312"/>
          <w:color w:val="000000" w:themeColor="text1"/>
          <w:sz w:val="32"/>
          <w:szCs w:val="32"/>
          <w14:textFill>
            <w14:solidFill>
              <w14:schemeClr w14:val="tx1"/>
            </w14:solidFill>
          </w14:textFill>
        </w:rPr>
        <w:t>要求，</w:t>
      </w:r>
      <w:r>
        <w:rPr>
          <w:rFonts w:hint="eastAsia" w:ascii="仿宋_GB2312" w:eastAsia="仿宋_GB2312"/>
          <w:color w:val="000000" w:themeColor="text1"/>
          <w:sz w:val="32"/>
          <w:szCs w:val="32"/>
          <w14:textFill>
            <w14:solidFill>
              <w14:schemeClr w14:val="tx1"/>
            </w14:solidFill>
          </w14:textFill>
        </w:rPr>
        <w:t>由江西省</w:t>
      </w:r>
      <w:r>
        <w:rPr>
          <w:rFonts w:hint="eastAsia" w:ascii="仿宋_GB2312" w:eastAsia="仿宋_GB2312"/>
          <w:color w:val="000000" w:themeColor="text1"/>
          <w:sz w:val="32"/>
          <w:szCs w:val="32"/>
          <w:lang w:eastAsia="zh-CN"/>
          <w14:textFill>
            <w14:solidFill>
              <w14:schemeClr w14:val="tx1"/>
            </w14:solidFill>
          </w14:textFill>
        </w:rPr>
        <w:t>检验检测认证总院</w:t>
      </w:r>
      <w:r>
        <w:rPr>
          <w:rFonts w:hint="eastAsia" w:ascii="仿宋_GB2312" w:eastAsia="仿宋_GB2312"/>
          <w:color w:val="000000" w:themeColor="text1"/>
          <w:sz w:val="32"/>
          <w:szCs w:val="32"/>
          <w14:textFill>
            <w14:solidFill>
              <w14:schemeClr w14:val="tx1"/>
            </w14:solidFill>
          </w14:textFill>
        </w:rPr>
        <w:t>食品检验检测研究院负责《食</w:t>
      </w:r>
      <w:r>
        <w:rPr>
          <w:rFonts w:hint="eastAsia" w:ascii="仿宋_GB2312" w:eastAsia="仿宋_GB2312"/>
          <w:color w:val="000000" w:themeColor="text1"/>
          <w:sz w:val="32"/>
          <w:szCs w:val="32"/>
          <w:highlight w:val="none"/>
          <w14:textFill>
            <w14:solidFill>
              <w14:schemeClr w14:val="tx1"/>
            </w14:solidFill>
          </w14:textFill>
        </w:rPr>
        <w:t>品快速检测产品评价标准技术规范》的起草工作，项目编号：DB36-20</w:t>
      </w:r>
      <w:r>
        <w:rPr>
          <w:rFonts w:hint="eastAsia" w:ascii="仿宋_GB2312" w:eastAsia="仿宋_GB2312"/>
          <w:color w:val="000000" w:themeColor="text1"/>
          <w:sz w:val="32"/>
          <w:szCs w:val="32"/>
          <w:highlight w:val="none"/>
          <w:lang w:val="en-US" w:eastAsia="zh-CN"/>
          <w14:textFill>
            <w14:solidFill>
              <w14:schemeClr w14:val="tx1"/>
            </w14:solidFill>
          </w14:textFill>
        </w:rPr>
        <w:t>24</w:t>
      </w:r>
      <w:r>
        <w:rPr>
          <w:rFonts w:hint="eastAsia" w:ascii="仿宋_GB2312" w:eastAsia="仿宋_GB2312"/>
          <w:color w:val="000000" w:themeColor="text1"/>
          <w:sz w:val="32"/>
          <w:szCs w:val="32"/>
          <w:highlight w:val="none"/>
          <w14:textFill>
            <w14:solidFill>
              <w14:schemeClr w14:val="tx1"/>
            </w14:solidFill>
          </w14:textFill>
        </w:rPr>
        <w:t>-</w:t>
      </w:r>
      <w:r>
        <w:rPr>
          <w:rFonts w:hint="eastAsia" w:ascii="仿宋_GB2312" w:eastAsia="仿宋_GB2312"/>
          <w:color w:val="000000" w:themeColor="text1"/>
          <w:sz w:val="32"/>
          <w:szCs w:val="32"/>
          <w:highlight w:val="none"/>
          <w:lang w:val="en-US" w:eastAsia="zh-CN"/>
          <w14:textFill>
            <w14:solidFill>
              <w14:schemeClr w14:val="tx1"/>
            </w14:solidFill>
          </w14:textFill>
        </w:rPr>
        <w:t>1</w:t>
      </w:r>
      <w:r>
        <w:rPr>
          <w:rFonts w:hint="eastAsia" w:ascii="仿宋_GB2312" w:eastAsia="仿宋_GB2312"/>
          <w:color w:val="000000" w:themeColor="text1"/>
          <w:sz w:val="32"/>
          <w:szCs w:val="32"/>
          <w:highlight w:val="none"/>
          <w14:textFill>
            <w14:solidFill>
              <w14:schemeClr w14:val="tx1"/>
            </w14:solidFill>
          </w14:textFill>
        </w:rPr>
        <w:t>-</w:t>
      </w:r>
      <w:r>
        <w:rPr>
          <w:rFonts w:hint="eastAsia" w:ascii="仿宋_GB2312" w:eastAsia="仿宋_GB2312"/>
          <w:color w:val="000000" w:themeColor="text1"/>
          <w:sz w:val="32"/>
          <w:szCs w:val="32"/>
          <w:highlight w:val="none"/>
          <w:lang w:val="en-US" w:eastAsia="zh-CN"/>
          <w14:textFill>
            <w14:solidFill>
              <w14:schemeClr w14:val="tx1"/>
            </w14:solidFill>
          </w14:textFill>
        </w:rPr>
        <w:t>2</w:t>
      </w:r>
      <w:r>
        <w:rPr>
          <w:rFonts w:hint="eastAsia" w:ascii="仿宋_GB2312" w:eastAsia="仿宋_GB2312"/>
          <w:color w:val="000000" w:themeColor="text1"/>
          <w:sz w:val="32"/>
          <w:szCs w:val="32"/>
          <w:highlight w:val="none"/>
          <w14:textFill>
            <w14:solidFill>
              <w14:schemeClr w14:val="tx1"/>
            </w14:solidFill>
          </w14:textFill>
        </w:rPr>
        <w:t>0。</w:t>
      </w:r>
    </w:p>
    <w:p w14:paraId="0AAC6B8F">
      <w:pPr>
        <w:ind w:firstLine="640" w:firstLineChars="200"/>
        <w:rPr>
          <w:rFonts w:hint="default" w:ascii="仿宋_GB2312" w:eastAsia="仿宋_GB2312"/>
          <w:color w:val="000000" w:themeColor="text1"/>
          <w:sz w:val="32"/>
          <w:szCs w:val="32"/>
          <w:highlight w:val="none"/>
          <w:lang w:val="en-US" w:eastAsia="zh-CN"/>
          <w14:textFill>
            <w14:solidFill>
              <w14:schemeClr w14:val="tx1"/>
            </w14:solidFill>
          </w14:textFill>
        </w:rPr>
      </w:pPr>
      <w:r>
        <w:rPr>
          <w:rFonts w:hint="eastAsia" w:ascii="仿宋_GB2312" w:eastAsia="仿宋_GB2312"/>
          <w:color w:val="000000" w:themeColor="text1"/>
          <w:sz w:val="32"/>
          <w:szCs w:val="32"/>
          <w:highlight w:val="none"/>
          <w:lang w:eastAsia="zh-CN"/>
          <w14:textFill>
            <w14:solidFill>
              <w14:schemeClr w14:val="tx1"/>
            </w14:solidFill>
          </w14:textFill>
        </w:rPr>
        <w:t>本标准是对DB 36/T 1334-2020</w:t>
      </w:r>
      <w:r>
        <w:rPr>
          <w:rFonts w:hint="eastAsia" w:ascii="仿宋_GB2312" w:eastAsia="仿宋_GB2312"/>
          <w:color w:val="000000" w:themeColor="text1"/>
          <w:sz w:val="32"/>
          <w:szCs w:val="32"/>
          <w:highlight w:val="none"/>
          <w:lang w:val="en-US" w:eastAsia="zh-CN"/>
          <w14:textFill>
            <w14:solidFill>
              <w14:schemeClr w14:val="tx1"/>
            </w14:solidFill>
          </w14:textFill>
        </w:rPr>
        <w:t xml:space="preserve"> 食品快速检测产品评价技术规范进行第一次修订。</w:t>
      </w:r>
    </w:p>
    <w:p w14:paraId="01BD2908">
      <w:pPr>
        <w:rPr>
          <w:rFonts w:ascii="楷体_GB2312" w:eastAsia="楷体_GB2312"/>
          <w:color w:val="000000" w:themeColor="text1"/>
          <w:sz w:val="32"/>
          <w:szCs w:val="32"/>
          <w14:textFill>
            <w14:solidFill>
              <w14:schemeClr w14:val="tx1"/>
            </w14:solidFill>
          </w14:textFill>
        </w:rPr>
      </w:pPr>
      <w:r>
        <w:rPr>
          <w:rFonts w:hint="eastAsia" w:ascii="楷体_GB2312" w:eastAsia="楷体_GB2312"/>
          <w:color w:val="000000" w:themeColor="text1"/>
          <w:sz w:val="32"/>
          <w:szCs w:val="32"/>
          <w14:textFill>
            <w14:solidFill>
              <w14:schemeClr w14:val="tx1"/>
            </w14:solidFill>
          </w14:textFill>
        </w:rPr>
        <w:t>（二）起草单位</w:t>
      </w:r>
    </w:p>
    <w:p w14:paraId="22F1874C">
      <w:pPr>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江西省检验检测认证总院食品检验检测研究院</w:t>
      </w:r>
    </w:p>
    <w:p w14:paraId="406B48D5">
      <w:pPr>
        <w:rPr>
          <w:rFonts w:ascii="楷体_GB2312" w:eastAsia="楷体_GB2312"/>
          <w:color w:val="000000" w:themeColor="text1"/>
          <w:sz w:val="32"/>
          <w:szCs w:val="32"/>
          <w14:textFill>
            <w14:solidFill>
              <w14:schemeClr w14:val="tx1"/>
            </w14:solidFill>
          </w14:textFill>
        </w:rPr>
      </w:pPr>
      <w:r>
        <w:rPr>
          <w:rFonts w:hint="eastAsia" w:ascii="楷体_GB2312" w:eastAsia="楷体_GB2312"/>
          <w:color w:val="000000" w:themeColor="text1"/>
          <w:sz w:val="32"/>
          <w:szCs w:val="32"/>
          <w14:textFill>
            <w14:solidFill>
              <w14:schemeClr w14:val="tx1"/>
            </w14:solidFill>
          </w14:textFill>
        </w:rPr>
        <w:t>（三）主要起草人</w:t>
      </w:r>
    </w:p>
    <w:tbl>
      <w:tblPr>
        <w:tblStyle w:val="7"/>
        <w:tblW w:w="8474" w:type="dxa"/>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1"/>
        <w:gridCol w:w="1016"/>
        <w:gridCol w:w="1834"/>
        <w:gridCol w:w="2986"/>
        <w:gridCol w:w="1267"/>
      </w:tblGrid>
      <w:tr w14:paraId="095C0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1" w:type="dxa"/>
            <w:shd w:val="clear" w:color="auto" w:fill="auto"/>
            <w:vAlign w:val="center"/>
          </w:tcPr>
          <w:p w14:paraId="1BBAE3EB">
            <w:pPr>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姓 名</w:t>
            </w:r>
          </w:p>
        </w:tc>
        <w:tc>
          <w:tcPr>
            <w:tcW w:w="1016" w:type="dxa"/>
            <w:shd w:val="clear" w:color="auto" w:fill="auto"/>
            <w:vAlign w:val="center"/>
          </w:tcPr>
          <w:p w14:paraId="1DD09D1E">
            <w:pPr>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性别</w:t>
            </w:r>
          </w:p>
        </w:tc>
        <w:tc>
          <w:tcPr>
            <w:tcW w:w="1834" w:type="dxa"/>
            <w:shd w:val="clear" w:color="auto" w:fill="auto"/>
            <w:vAlign w:val="center"/>
          </w:tcPr>
          <w:p w14:paraId="3C4B016F">
            <w:pPr>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职务/职称</w:t>
            </w:r>
          </w:p>
        </w:tc>
        <w:tc>
          <w:tcPr>
            <w:tcW w:w="2986" w:type="dxa"/>
            <w:shd w:val="clear" w:color="auto" w:fill="auto"/>
            <w:vAlign w:val="center"/>
          </w:tcPr>
          <w:p w14:paraId="519BBC13">
            <w:pPr>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工作单位</w:t>
            </w:r>
          </w:p>
        </w:tc>
        <w:tc>
          <w:tcPr>
            <w:tcW w:w="1267" w:type="dxa"/>
            <w:shd w:val="clear" w:color="auto" w:fill="auto"/>
            <w:vAlign w:val="center"/>
          </w:tcPr>
          <w:p w14:paraId="3C70F588">
            <w:pPr>
              <w:rPr>
                <w:rFonts w:ascii="仿宋_GB2312" w:eastAsia="仿宋_GB2312"/>
                <w:color w:val="000000" w:themeColor="text1"/>
                <w:sz w:val="30"/>
                <w:szCs w:val="30"/>
                <w14:textFill>
                  <w14:solidFill>
                    <w14:schemeClr w14:val="tx1"/>
                  </w14:solidFill>
                </w14:textFill>
              </w:rPr>
            </w:pPr>
            <w:r>
              <w:rPr>
                <w:rFonts w:hint="eastAsia" w:ascii="仿宋_GB2312" w:eastAsia="仿宋_GB2312"/>
                <w:color w:val="000000" w:themeColor="text1"/>
                <w:sz w:val="30"/>
                <w:szCs w:val="30"/>
                <w14:textFill>
                  <w14:solidFill>
                    <w14:schemeClr w14:val="tx1"/>
                  </w14:solidFill>
                </w14:textFill>
              </w:rPr>
              <w:t>任务分工</w:t>
            </w:r>
          </w:p>
        </w:tc>
      </w:tr>
      <w:tr w14:paraId="6AA0E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1" w:type="dxa"/>
            <w:shd w:val="clear" w:color="auto" w:fill="auto"/>
          </w:tcPr>
          <w:p w14:paraId="15B4B1ED">
            <w:pPr>
              <w:rPr>
                <w:rFonts w:hint="eastAsia" w:ascii="仿宋_GB2312" w:eastAsia="仿宋_GB2312"/>
                <w:color w:val="000000" w:themeColor="text1"/>
                <w:sz w:val="24"/>
                <w:szCs w:val="24"/>
                <w:lang w:eastAsia="zh-CN"/>
                <w14:textFill>
                  <w14:solidFill>
                    <w14:schemeClr w14:val="tx1"/>
                  </w14:solidFill>
                </w14:textFill>
              </w:rPr>
            </w:pPr>
          </w:p>
        </w:tc>
        <w:tc>
          <w:tcPr>
            <w:tcW w:w="1016" w:type="dxa"/>
            <w:shd w:val="clear" w:color="auto" w:fill="auto"/>
          </w:tcPr>
          <w:p w14:paraId="126EB786">
            <w:pPr>
              <w:rPr>
                <w:rFonts w:hint="eastAsia" w:ascii="仿宋_GB2312" w:eastAsia="仿宋_GB2312"/>
                <w:color w:val="000000" w:themeColor="text1"/>
                <w:sz w:val="24"/>
                <w:szCs w:val="24"/>
                <w:lang w:eastAsia="zh-CN"/>
                <w14:textFill>
                  <w14:solidFill>
                    <w14:schemeClr w14:val="tx1"/>
                  </w14:solidFill>
                </w14:textFill>
              </w:rPr>
            </w:pPr>
          </w:p>
        </w:tc>
        <w:tc>
          <w:tcPr>
            <w:tcW w:w="1834" w:type="dxa"/>
            <w:shd w:val="clear" w:color="auto" w:fill="auto"/>
          </w:tcPr>
          <w:p w14:paraId="4ABCE6BB">
            <w:pPr>
              <w:rPr>
                <w:rFonts w:hint="default" w:ascii="仿宋_GB2312" w:eastAsia="仿宋_GB2312"/>
                <w:color w:val="000000" w:themeColor="text1"/>
                <w:sz w:val="24"/>
                <w:szCs w:val="24"/>
                <w:lang w:val="en-US" w:eastAsia="zh-CN"/>
                <w14:textFill>
                  <w14:solidFill>
                    <w14:schemeClr w14:val="tx1"/>
                  </w14:solidFill>
                </w14:textFill>
              </w:rPr>
            </w:pPr>
          </w:p>
        </w:tc>
        <w:tc>
          <w:tcPr>
            <w:tcW w:w="2986" w:type="dxa"/>
            <w:shd w:val="clear" w:color="auto" w:fill="auto"/>
          </w:tcPr>
          <w:p w14:paraId="21EBA5E0">
            <w:pPr>
              <w:rPr>
                <w:rFonts w:ascii="仿宋_GB2312" w:eastAsia="仿宋_GB2312"/>
                <w:color w:val="000000" w:themeColor="text1"/>
                <w:sz w:val="24"/>
                <w:szCs w:val="24"/>
                <w14:textFill>
                  <w14:solidFill>
                    <w14:schemeClr w14:val="tx1"/>
                  </w14:solidFill>
                </w14:textFill>
              </w:rPr>
            </w:pPr>
          </w:p>
        </w:tc>
        <w:tc>
          <w:tcPr>
            <w:tcW w:w="1267" w:type="dxa"/>
            <w:shd w:val="clear" w:color="auto" w:fill="auto"/>
          </w:tcPr>
          <w:p w14:paraId="3B566CEB">
            <w:pPr>
              <w:rPr>
                <w:rFonts w:ascii="仿宋_GB2312" w:eastAsia="仿宋_GB2312"/>
                <w:color w:val="000000" w:themeColor="text1"/>
                <w:sz w:val="24"/>
                <w:szCs w:val="24"/>
                <w14:textFill>
                  <w14:solidFill>
                    <w14:schemeClr w14:val="tx1"/>
                  </w14:solidFill>
                </w14:textFill>
              </w:rPr>
            </w:pPr>
          </w:p>
        </w:tc>
      </w:tr>
      <w:tr w14:paraId="239EC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1" w:type="dxa"/>
            <w:shd w:val="clear" w:color="auto" w:fill="auto"/>
          </w:tcPr>
          <w:p w14:paraId="137B9203">
            <w:pPr>
              <w:rPr>
                <w:rFonts w:hint="eastAsia" w:ascii="仿宋_GB2312" w:eastAsia="仿宋_GB2312"/>
                <w:color w:val="000000" w:themeColor="text1"/>
                <w:sz w:val="24"/>
                <w:szCs w:val="24"/>
                <w:lang w:eastAsia="zh-CN"/>
                <w14:textFill>
                  <w14:solidFill>
                    <w14:schemeClr w14:val="tx1"/>
                  </w14:solidFill>
                </w14:textFill>
              </w:rPr>
            </w:pPr>
          </w:p>
        </w:tc>
        <w:tc>
          <w:tcPr>
            <w:tcW w:w="1016" w:type="dxa"/>
            <w:shd w:val="clear" w:color="auto" w:fill="auto"/>
            <w:vAlign w:val="top"/>
          </w:tcPr>
          <w:p w14:paraId="6D521C1A">
            <w:pPr>
              <w:rPr>
                <w:rFonts w:hint="eastAsia" w:ascii="仿宋_GB2312" w:hAnsi="Times New Roman" w:eastAsia="仿宋_GB2312" w:cs="Times New Roman"/>
                <w:color w:val="000000" w:themeColor="text1"/>
                <w:kern w:val="2"/>
                <w:sz w:val="24"/>
                <w:szCs w:val="24"/>
                <w:lang w:val="en-US" w:eastAsia="zh-CN" w:bidi="ar-SA"/>
                <w14:textFill>
                  <w14:solidFill>
                    <w14:schemeClr w14:val="tx1"/>
                  </w14:solidFill>
                </w14:textFill>
              </w:rPr>
            </w:pPr>
          </w:p>
        </w:tc>
        <w:tc>
          <w:tcPr>
            <w:tcW w:w="1834" w:type="dxa"/>
            <w:shd w:val="clear" w:color="auto" w:fill="auto"/>
            <w:vAlign w:val="top"/>
          </w:tcPr>
          <w:p w14:paraId="46BFFF94">
            <w:pPr>
              <w:rPr>
                <w:rFonts w:hint="default" w:ascii="仿宋_GB2312" w:hAnsi="Times New Roman" w:eastAsia="仿宋_GB2312" w:cs="Times New Roman"/>
                <w:color w:val="000000" w:themeColor="text1"/>
                <w:kern w:val="2"/>
                <w:sz w:val="24"/>
                <w:szCs w:val="24"/>
                <w:lang w:val="en-US" w:eastAsia="zh-CN" w:bidi="ar-SA"/>
                <w14:textFill>
                  <w14:solidFill>
                    <w14:schemeClr w14:val="tx1"/>
                  </w14:solidFill>
                </w14:textFill>
              </w:rPr>
            </w:pPr>
          </w:p>
        </w:tc>
        <w:tc>
          <w:tcPr>
            <w:tcW w:w="2986" w:type="dxa"/>
            <w:shd w:val="clear" w:color="auto" w:fill="auto"/>
            <w:vAlign w:val="top"/>
          </w:tcPr>
          <w:p w14:paraId="77F3DC3A">
            <w:pPr>
              <w:rPr>
                <w:rFonts w:ascii="仿宋_GB2312" w:hAnsi="Times New Roman" w:eastAsia="仿宋_GB2312" w:cs="Times New Roman"/>
                <w:color w:val="000000" w:themeColor="text1"/>
                <w:kern w:val="2"/>
                <w:sz w:val="24"/>
                <w:szCs w:val="24"/>
                <w:lang w:val="en-US" w:eastAsia="zh-CN" w:bidi="ar-SA"/>
                <w14:textFill>
                  <w14:solidFill>
                    <w14:schemeClr w14:val="tx1"/>
                  </w14:solidFill>
                </w14:textFill>
              </w:rPr>
            </w:pPr>
          </w:p>
        </w:tc>
        <w:tc>
          <w:tcPr>
            <w:tcW w:w="1267" w:type="dxa"/>
            <w:shd w:val="clear" w:color="auto" w:fill="auto"/>
          </w:tcPr>
          <w:p w14:paraId="5C2B040C">
            <w:pPr>
              <w:rPr>
                <w:rFonts w:ascii="仿宋_GB2312" w:eastAsia="仿宋_GB2312"/>
                <w:color w:val="000000" w:themeColor="text1"/>
                <w:sz w:val="24"/>
                <w:szCs w:val="24"/>
                <w14:textFill>
                  <w14:solidFill>
                    <w14:schemeClr w14:val="tx1"/>
                  </w14:solidFill>
                </w14:textFill>
              </w:rPr>
            </w:pPr>
          </w:p>
        </w:tc>
      </w:tr>
      <w:tr w14:paraId="62D97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1" w:type="dxa"/>
            <w:shd w:val="clear" w:color="auto" w:fill="auto"/>
          </w:tcPr>
          <w:p w14:paraId="0A99845E">
            <w:pPr>
              <w:rPr>
                <w:rFonts w:hint="eastAsia" w:ascii="仿宋_GB2312" w:eastAsia="仿宋_GB2312"/>
                <w:color w:val="000000" w:themeColor="text1"/>
                <w:sz w:val="24"/>
                <w:szCs w:val="24"/>
                <w:lang w:eastAsia="zh-CN"/>
                <w14:textFill>
                  <w14:solidFill>
                    <w14:schemeClr w14:val="tx1"/>
                  </w14:solidFill>
                </w14:textFill>
              </w:rPr>
            </w:pPr>
          </w:p>
        </w:tc>
        <w:tc>
          <w:tcPr>
            <w:tcW w:w="1016" w:type="dxa"/>
            <w:shd w:val="clear" w:color="auto" w:fill="auto"/>
          </w:tcPr>
          <w:p w14:paraId="710AC6EA">
            <w:pPr>
              <w:rPr>
                <w:rFonts w:hint="eastAsia" w:ascii="仿宋_GB2312" w:eastAsia="仿宋_GB2312"/>
                <w:color w:val="000000" w:themeColor="text1"/>
                <w:sz w:val="24"/>
                <w:szCs w:val="24"/>
                <w:lang w:eastAsia="zh-CN"/>
                <w14:textFill>
                  <w14:solidFill>
                    <w14:schemeClr w14:val="tx1"/>
                  </w14:solidFill>
                </w14:textFill>
              </w:rPr>
            </w:pPr>
          </w:p>
        </w:tc>
        <w:tc>
          <w:tcPr>
            <w:tcW w:w="1834" w:type="dxa"/>
            <w:shd w:val="clear" w:color="auto" w:fill="auto"/>
            <w:vAlign w:val="top"/>
          </w:tcPr>
          <w:p w14:paraId="6E145C24">
            <w:pPr>
              <w:rPr>
                <w:rFonts w:hint="default" w:ascii="仿宋_GB2312" w:hAnsi="Times New Roman" w:eastAsia="仿宋_GB2312" w:cs="Times New Roman"/>
                <w:color w:val="000000" w:themeColor="text1"/>
                <w:kern w:val="2"/>
                <w:sz w:val="24"/>
                <w:szCs w:val="24"/>
                <w:lang w:val="en-US" w:eastAsia="zh-CN" w:bidi="ar-SA"/>
                <w14:textFill>
                  <w14:solidFill>
                    <w14:schemeClr w14:val="tx1"/>
                  </w14:solidFill>
                </w14:textFill>
              </w:rPr>
            </w:pPr>
          </w:p>
        </w:tc>
        <w:tc>
          <w:tcPr>
            <w:tcW w:w="2986" w:type="dxa"/>
            <w:shd w:val="clear" w:color="auto" w:fill="auto"/>
            <w:vAlign w:val="top"/>
          </w:tcPr>
          <w:p w14:paraId="0355FF89">
            <w:pPr>
              <w:rPr>
                <w:rFonts w:ascii="仿宋_GB2312" w:hAnsi="Times New Roman" w:eastAsia="仿宋_GB2312" w:cs="Times New Roman"/>
                <w:color w:val="000000" w:themeColor="text1"/>
                <w:kern w:val="2"/>
                <w:sz w:val="24"/>
                <w:szCs w:val="24"/>
                <w:lang w:val="en-US" w:eastAsia="zh-CN" w:bidi="ar-SA"/>
                <w14:textFill>
                  <w14:solidFill>
                    <w14:schemeClr w14:val="tx1"/>
                  </w14:solidFill>
                </w14:textFill>
              </w:rPr>
            </w:pPr>
          </w:p>
        </w:tc>
        <w:tc>
          <w:tcPr>
            <w:tcW w:w="1267" w:type="dxa"/>
            <w:shd w:val="clear" w:color="auto" w:fill="auto"/>
          </w:tcPr>
          <w:p w14:paraId="35256A11">
            <w:pPr>
              <w:rPr>
                <w:rFonts w:ascii="仿宋_GB2312" w:eastAsia="仿宋_GB2312"/>
                <w:color w:val="000000" w:themeColor="text1"/>
                <w:sz w:val="24"/>
                <w:szCs w:val="24"/>
                <w14:textFill>
                  <w14:solidFill>
                    <w14:schemeClr w14:val="tx1"/>
                  </w14:solidFill>
                </w14:textFill>
              </w:rPr>
            </w:pPr>
          </w:p>
        </w:tc>
      </w:tr>
      <w:tr w14:paraId="52565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1" w:type="dxa"/>
            <w:shd w:val="clear" w:color="auto" w:fill="auto"/>
          </w:tcPr>
          <w:p w14:paraId="7C6E4CA6">
            <w:pPr>
              <w:rPr>
                <w:rFonts w:ascii="仿宋_GB2312" w:eastAsia="仿宋_GB2312"/>
                <w:color w:val="000000" w:themeColor="text1"/>
                <w:sz w:val="24"/>
                <w:szCs w:val="24"/>
                <w14:textFill>
                  <w14:solidFill>
                    <w14:schemeClr w14:val="tx1"/>
                  </w14:solidFill>
                </w14:textFill>
              </w:rPr>
            </w:pPr>
          </w:p>
        </w:tc>
        <w:tc>
          <w:tcPr>
            <w:tcW w:w="1016" w:type="dxa"/>
            <w:shd w:val="clear" w:color="auto" w:fill="auto"/>
            <w:vAlign w:val="top"/>
          </w:tcPr>
          <w:p w14:paraId="168794CC">
            <w:pPr>
              <w:rPr>
                <w:rFonts w:hint="eastAsia" w:ascii="仿宋_GB2312" w:hAnsi="Times New Roman" w:eastAsia="仿宋_GB2312" w:cs="Times New Roman"/>
                <w:color w:val="000000" w:themeColor="text1"/>
                <w:kern w:val="2"/>
                <w:sz w:val="24"/>
                <w:szCs w:val="24"/>
                <w:lang w:val="en-US" w:eastAsia="zh-CN" w:bidi="ar-SA"/>
                <w14:textFill>
                  <w14:solidFill>
                    <w14:schemeClr w14:val="tx1"/>
                  </w14:solidFill>
                </w14:textFill>
              </w:rPr>
            </w:pPr>
          </w:p>
        </w:tc>
        <w:tc>
          <w:tcPr>
            <w:tcW w:w="1834" w:type="dxa"/>
            <w:shd w:val="clear" w:color="auto" w:fill="auto"/>
            <w:vAlign w:val="top"/>
          </w:tcPr>
          <w:p w14:paraId="78572D3E">
            <w:pPr>
              <w:rPr>
                <w:rFonts w:hint="default" w:ascii="仿宋_GB2312" w:hAnsi="Times New Roman" w:eastAsia="仿宋_GB2312" w:cs="Times New Roman"/>
                <w:color w:val="000000" w:themeColor="text1"/>
                <w:kern w:val="2"/>
                <w:sz w:val="24"/>
                <w:szCs w:val="24"/>
                <w:lang w:val="en-US" w:eastAsia="zh-CN" w:bidi="ar-SA"/>
                <w14:textFill>
                  <w14:solidFill>
                    <w14:schemeClr w14:val="tx1"/>
                  </w14:solidFill>
                </w14:textFill>
              </w:rPr>
            </w:pPr>
          </w:p>
        </w:tc>
        <w:tc>
          <w:tcPr>
            <w:tcW w:w="2986" w:type="dxa"/>
            <w:shd w:val="clear" w:color="auto" w:fill="auto"/>
          </w:tcPr>
          <w:p w14:paraId="1A836629">
            <w:pPr>
              <w:rPr>
                <w:rFonts w:ascii="仿宋_GB2312" w:eastAsia="仿宋_GB2312"/>
                <w:color w:val="000000" w:themeColor="text1"/>
                <w:sz w:val="24"/>
                <w:szCs w:val="24"/>
                <w14:textFill>
                  <w14:solidFill>
                    <w14:schemeClr w14:val="tx1"/>
                  </w14:solidFill>
                </w14:textFill>
              </w:rPr>
            </w:pPr>
          </w:p>
        </w:tc>
        <w:tc>
          <w:tcPr>
            <w:tcW w:w="1267" w:type="dxa"/>
            <w:shd w:val="clear" w:color="auto" w:fill="auto"/>
          </w:tcPr>
          <w:p w14:paraId="01390FFD">
            <w:pPr>
              <w:rPr>
                <w:rFonts w:ascii="仿宋_GB2312" w:eastAsia="仿宋_GB2312"/>
                <w:color w:val="000000" w:themeColor="text1"/>
                <w:sz w:val="24"/>
                <w:szCs w:val="24"/>
                <w14:textFill>
                  <w14:solidFill>
                    <w14:schemeClr w14:val="tx1"/>
                  </w14:solidFill>
                </w14:textFill>
              </w:rPr>
            </w:pPr>
          </w:p>
        </w:tc>
      </w:tr>
      <w:tr w14:paraId="5F572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1" w:type="dxa"/>
            <w:shd w:val="clear" w:color="auto" w:fill="auto"/>
          </w:tcPr>
          <w:p w14:paraId="688BFEA7">
            <w:pPr>
              <w:rPr>
                <w:rFonts w:ascii="仿宋_GB2312" w:eastAsia="仿宋_GB2312"/>
                <w:color w:val="000000" w:themeColor="text1"/>
                <w:sz w:val="24"/>
                <w:szCs w:val="24"/>
                <w14:textFill>
                  <w14:solidFill>
                    <w14:schemeClr w14:val="tx1"/>
                  </w14:solidFill>
                </w14:textFill>
              </w:rPr>
            </w:pPr>
          </w:p>
        </w:tc>
        <w:tc>
          <w:tcPr>
            <w:tcW w:w="1016" w:type="dxa"/>
            <w:shd w:val="clear" w:color="auto" w:fill="auto"/>
            <w:vAlign w:val="top"/>
          </w:tcPr>
          <w:p w14:paraId="0DD07AE7">
            <w:pPr>
              <w:rPr>
                <w:rFonts w:hint="eastAsia" w:ascii="仿宋_GB2312" w:hAnsi="Times New Roman" w:eastAsia="仿宋_GB2312" w:cs="Times New Roman"/>
                <w:color w:val="000000" w:themeColor="text1"/>
                <w:kern w:val="2"/>
                <w:sz w:val="24"/>
                <w:szCs w:val="24"/>
                <w:lang w:val="en-US" w:eastAsia="zh-CN" w:bidi="ar-SA"/>
                <w14:textFill>
                  <w14:solidFill>
                    <w14:schemeClr w14:val="tx1"/>
                  </w14:solidFill>
                </w14:textFill>
              </w:rPr>
            </w:pPr>
          </w:p>
        </w:tc>
        <w:tc>
          <w:tcPr>
            <w:tcW w:w="1834" w:type="dxa"/>
            <w:shd w:val="clear" w:color="auto" w:fill="auto"/>
            <w:vAlign w:val="top"/>
          </w:tcPr>
          <w:p w14:paraId="15630958">
            <w:pPr>
              <w:rPr>
                <w:rFonts w:hint="default" w:ascii="仿宋_GB2312" w:hAnsi="Times New Roman" w:eastAsia="仿宋_GB2312" w:cs="Times New Roman"/>
                <w:color w:val="000000" w:themeColor="text1"/>
                <w:kern w:val="2"/>
                <w:sz w:val="24"/>
                <w:szCs w:val="24"/>
                <w:lang w:val="en-US" w:eastAsia="zh-CN" w:bidi="ar-SA"/>
                <w14:textFill>
                  <w14:solidFill>
                    <w14:schemeClr w14:val="tx1"/>
                  </w14:solidFill>
                </w14:textFill>
              </w:rPr>
            </w:pPr>
          </w:p>
        </w:tc>
        <w:tc>
          <w:tcPr>
            <w:tcW w:w="2986" w:type="dxa"/>
            <w:shd w:val="clear" w:color="auto" w:fill="auto"/>
            <w:vAlign w:val="top"/>
          </w:tcPr>
          <w:p w14:paraId="756202AA">
            <w:pPr>
              <w:rPr>
                <w:rFonts w:ascii="仿宋_GB2312" w:hAnsi="Times New Roman" w:eastAsia="仿宋_GB2312" w:cs="Times New Roman"/>
                <w:color w:val="000000" w:themeColor="text1"/>
                <w:kern w:val="2"/>
                <w:sz w:val="24"/>
                <w:szCs w:val="24"/>
                <w:lang w:val="en-US" w:eastAsia="zh-CN" w:bidi="ar-SA"/>
                <w14:textFill>
                  <w14:solidFill>
                    <w14:schemeClr w14:val="tx1"/>
                  </w14:solidFill>
                </w14:textFill>
              </w:rPr>
            </w:pPr>
          </w:p>
        </w:tc>
        <w:tc>
          <w:tcPr>
            <w:tcW w:w="1267" w:type="dxa"/>
            <w:shd w:val="clear" w:color="auto" w:fill="auto"/>
          </w:tcPr>
          <w:p w14:paraId="7134E121">
            <w:pPr>
              <w:rPr>
                <w:rFonts w:ascii="仿宋_GB2312" w:eastAsia="仿宋_GB2312"/>
                <w:color w:val="000000" w:themeColor="text1"/>
                <w:sz w:val="24"/>
                <w:szCs w:val="24"/>
                <w14:textFill>
                  <w14:solidFill>
                    <w14:schemeClr w14:val="tx1"/>
                  </w14:solidFill>
                </w14:textFill>
              </w:rPr>
            </w:pPr>
          </w:p>
        </w:tc>
      </w:tr>
      <w:tr w14:paraId="163F1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1" w:type="dxa"/>
            <w:shd w:val="clear" w:color="auto" w:fill="auto"/>
          </w:tcPr>
          <w:p w14:paraId="2996281F">
            <w:pPr>
              <w:rPr>
                <w:rFonts w:ascii="仿宋_GB2312" w:eastAsia="仿宋_GB2312"/>
                <w:color w:val="000000" w:themeColor="text1"/>
                <w:sz w:val="24"/>
                <w:szCs w:val="24"/>
                <w14:textFill>
                  <w14:solidFill>
                    <w14:schemeClr w14:val="tx1"/>
                  </w14:solidFill>
                </w14:textFill>
              </w:rPr>
            </w:pPr>
          </w:p>
        </w:tc>
        <w:tc>
          <w:tcPr>
            <w:tcW w:w="1016" w:type="dxa"/>
            <w:shd w:val="clear" w:color="auto" w:fill="auto"/>
            <w:vAlign w:val="top"/>
          </w:tcPr>
          <w:p w14:paraId="607F00E8">
            <w:pPr>
              <w:rPr>
                <w:rFonts w:hint="eastAsia" w:ascii="仿宋_GB2312" w:hAnsi="Times New Roman" w:eastAsia="仿宋_GB2312" w:cs="Times New Roman"/>
                <w:color w:val="000000" w:themeColor="text1"/>
                <w:kern w:val="2"/>
                <w:sz w:val="24"/>
                <w:szCs w:val="24"/>
                <w:lang w:val="en-US" w:eastAsia="zh-CN" w:bidi="ar-SA"/>
                <w14:textFill>
                  <w14:solidFill>
                    <w14:schemeClr w14:val="tx1"/>
                  </w14:solidFill>
                </w14:textFill>
              </w:rPr>
            </w:pPr>
          </w:p>
        </w:tc>
        <w:tc>
          <w:tcPr>
            <w:tcW w:w="1834" w:type="dxa"/>
            <w:shd w:val="clear" w:color="auto" w:fill="auto"/>
            <w:vAlign w:val="top"/>
          </w:tcPr>
          <w:p w14:paraId="5F464E3C">
            <w:pPr>
              <w:rPr>
                <w:rFonts w:hint="default" w:ascii="仿宋_GB2312" w:hAnsi="Times New Roman" w:eastAsia="仿宋_GB2312" w:cs="Times New Roman"/>
                <w:color w:val="000000" w:themeColor="text1"/>
                <w:kern w:val="2"/>
                <w:sz w:val="24"/>
                <w:szCs w:val="24"/>
                <w:lang w:val="en-US" w:eastAsia="zh-CN" w:bidi="ar-SA"/>
                <w14:textFill>
                  <w14:solidFill>
                    <w14:schemeClr w14:val="tx1"/>
                  </w14:solidFill>
                </w14:textFill>
              </w:rPr>
            </w:pPr>
          </w:p>
        </w:tc>
        <w:tc>
          <w:tcPr>
            <w:tcW w:w="2986" w:type="dxa"/>
            <w:shd w:val="clear" w:color="auto" w:fill="auto"/>
            <w:vAlign w:val="top"/>
          </w:tcPr>
          <w:p w14:paraId="47E2E3ED">
            <w:pPr>
              <w:rPr>
                <w:rFonts w:ascii="仿宋_GB2312" w:hAnsi="Times New Roman" w:eastAsia="仿宋_GB2312" w:cs="Times New Roman"/>
                <w:color w:val="000000" w:themeColor="text1"/>
                <w:kern w:val="2"/>
                <w:sz w:val="24"/>
                <w:szCs w:val="24"/>
                <w:lang w:val="en-US" w:eastAsia="zh-CN" w:bidi="ar-SA"/>
                <w14:textFill>
                  <w14:solidFill>
                    <w14:schemeClr w14:val="tx1"/>
                  </w14:solidFill>
                </w14:textFill>
              </w:rPr>
            </w:pPr>
          </w:p>
        </w:tc>
        <w:tc>
          <w:tcPr>
            <w:tcW w:w="1267" w:type="dxa"/>
            <w:shd w:val="clear" w:color="auto" w:fill="auto"/>
          </w:tcPr>
          <w:p w14:paraId="1E2B43AE">
            <w:pPr>
              <w:rPr>
                <w:rFonts w:ascii="仿宋_GB2312" w:eastAsia="仿宋_GB2312"/>
                <w:color w:val="000000" w:themeColor="text1"/>
                <w:sz w:val="24"/>
                <w:szCs w:val="24"/>
                <w14:textFill>
                  <w14:solidFill>
                    <w14:schemeClr w14:val="tx1"/>
                  </w14:solidFill>
                </w14:textFill>
              </w:rPr>
            </w:pPr>
          </w:p>
        </w:tc>
      </w:tr>
      <w:tr w14:paraId="39C66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1" w:type="dxa"/>
            <w:shd w:val="clear" w:color="auto" w:fill="auto"/>
          </w:tcPr>
          <w:p w14:paraId="335CE99E">
            <w:pPr>
              <w:rPr>
                <w:rFonts w:ascii="仿宋_GB2312" w:eastAsia="仿宋_GB2312"/>
                <w:color w:val="000000" w:themeColor="text1"/>
                <w:sz w:val="24"/>
                <w:szCs w:val="24"/>
                <w14:textFill>
                  <w14:solidFill>
                    <w14:schemeClr w14:val="tx1"/>
                  </w14:solidFill>
                </w14:textFill>
              </w:rPr>
            </w:pPr>
          </w:p>
        </w:tc>
        <w:tc>
          <w:tcPr>
            <w:tcW w:w="1016" w:type="dxa"/>
            <w:shd w:val="clear" w:color="auto" w:fill="auto"/>
            <w:vAlign w:val="top"/>
          </w:tcPr>
          <w:p w14:paraId="1A624839">
            <w:pPr>
              <w:rPr>
                <w:rFonts w:hint="eastAsia" w:ascii="仿宋_GB2312" w:hAnsi="Times New Roman" w:eastAsia="仿宋_GB2312" w:cs="Times New Roman"/>
                <w:color w:val="000000" w:themeColor="text1"/>
                <w:kern w:val="2"/>
                <w:sz w:val="24"/>
                <w:szCs w:val="24"/>
                <w:lang w:val="en-US" w:eastAsia="zh-CN" w:bidi="ar-SA"/>
                <w14:textFill>
                  <w14:solidFill>
                    <w14:schemeClr w14:val="tx1"/>
                  </w14:solidFill>
                </w14:textFill>
              </w:rPr>
            </w:pPr>
          </w:p>
        </w:tc>
        <w:tc>
          <w:tcPr>
            <w:tcW w:w="1834" w:type="dxa"/>
            <w:shd w:val="clear" w:color="auto" w:fill="auto"/>
            <w:vAlign w:val="top"/>
          </w:tcPr>
          <w:p w14:paraId="681E1544">
            <w:pPr>
              <w:rPr>
                <w:rFonts w:hint="default" w:ascii="仿宋_GB2312" w:hAnsi="Times New Roman" w:eastAsia="仿宋_GB2312" w:cs="Times New Roman"/>
                <w:color w:val="000000" w:themeColor="text1"/>
                <w:kern w:val="2"/>
                <w:sz w:val="24"/>
                <w:szCs w:val="24"/>
                <w:lang w:val="en-US" w:eastAsia="zh-CN" w:bidi="ar-SA"/>
                <w14:textFill>
                  <w14:solidFill>
                    <w14:schemeClr w14:val="tx1"/>
                  </w14:solidFill>
                </w14:textFill>
              </w:rPr>
            </w:pPr>
          </w:p>
        </w:tc>
        <w:tc>
          <w:tcPr>
            <w:tcW w:w="2986" w:type="dxa"/>
            <w:shd w:val="clear" w:color="auto" w:fill="auto"/>
            <w:vAlign w:val="top"/>
          </w:tcPr>
          <w:p w14:paraId="53DE4063">
            <w:pPr>
              <w:rPr>
                <w:rFonts w:ascii="仿宋_GB2312" w:hAnsi="Times New Roman" w:eastAsia="仿宋_GB2312" w:cs="Times New Roman"/>
                <w:color w:val="000000" w:themeColor="text1"/>
                <w:kern w:val="2"/>
                <w:sz w:val="24"/>
                <w:szCs w:val="24"/>
                <w:lang w:val="en-US" w:eastAsia="zh-CN" w:bidi="ar-SA"/>
                <w14:textFill>
                  <w14:solidFill>
                    <w14:schemeClr w14:val="tx1"/>
                  </w14:solidFill>
                </w14:textFill>
              </w:rPr>
            </w:pPr>
          </w:p>
        </w:tc>
        <w:tc>
          <w:tcPr>
            <w:tcW w:w="1267" w:type="dxa"/>
            <w:shd w:val="clear" w:color="auto" w:fill="auto"/>
          </w:tcPr>
          <w:p w14:paraId="150FF85F">
            <w:pPr>
              <w:rPr>
                <w:rFonts w:ascii="仿宋_GB2312" w:eastAsia="仿宋_GB2312"/>
                <w:color w:val="000000" w:themeColor="text1"/>
                <w:sz w:val="24"/>
                <w:szCs w:val="24"/>
                <w14:textFill>
                  <w14:solidFill>
                    <w14:schemeClr w14:val="tx1"/>
                  </w14:solidFill>
                </w14:textFill>
              </w:rPr>
            </w:pPr>
          </w:p>
        </w:tc>
      </w:tr>
      <w:tr w14:paraId="48ACF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1" w:type="dxa"/>
            <w:shd w:val="clear" w:color="auto" w:fill="auto"/>
          </w:tcPr>
          <w:p w14:paraId="51D7C4F0">
            <w:pPr>
              <w:rPr>
                <w:rFonts w:ascii="仿宋_GB2312" w:eastAsia="仿宋_GB2312"/>
                <w:color w:val="000000" w:themeColor="text1"/>
                <w:sz w:val="24"/>
                <w:szCs w:val="24"/>
                <w14:textFill>
                  <w14:solidFill>
                    <w14:schemeClr w14:val="tx1"/>
                  </w14:solidFill>
                </w14:textFill>
              </w:rPr>
            </w:pPr>
          </w:p>
        </w:tc>
        <w:tc>
          <w:tcPr>
            <w:tcW w:w="1016" w:type="dxa"/>
            <w:shd w:val="clear" w:color="auto" w:fill="auto"/>
          </w:tcPr>
          <w:p w14:paraId="7A36E20A">
            <w:pPr>
              <w:rPr>
                <w:rFonts w:hint="eastAsia" w:ascii="仿宋_GB2312" w:eastAsia="仿宋_GB2312"/>
                <w:color w:val="000000" w:themeColor="text1"/>
                <w:sz w:val="24"/>
                <w:szCs w:val="24"/>
                <w:lang w:eastAsia="zh-CN"/>
                <w14:textFill>
                  <w14:solidFill>
                    <w14:schemeClr w14:val="tx1"/>
                  </w14:solidFill>
                </w14:textFill>
              </w:rPr>
            </w:pPr>
          </w:p>
        </w:tc>
        <w:tc>
          <w:tcPr>
            <w:tcW w:w="1834" w:type="dxa"/>
            <w:shd w:val="clear" w:color="auto" w:fill="auto"/>
          </w:tcPr>
          <w:p w14:paraId="31EFD009">
            <w:pPr>
              <w:rPr>
                <w:rFonts w:hint="eastAsia" w:ascii="仿宋_GB2312" w:eastAsia="仿宋_GB2312"/>
                <w:color w:val="000000" w:themeColor="text1"/>
                <w:sz w:val="24"/>
                <w:szCs w:val="24"/>
                <w:lang w:eastAsia="zh-CN"/>
                <w14:textFill>
                  <w14:solidFill>
                    <w14:schemeClr w14:val="tx1"/>
                  </w14:solidFill>
                </w14:textFill>
              </w:rPr>
            </w:pPr>
          </w:p>
        </w:tc>
        <w:tc>
          <w:tcPr>
            <w:tcW w:w="2986" w:type="dxa"/>
            <w:shd w:val="clear" w:color="auto" w:fill="auto"/>
            <w:vAlign w:val="top"/>
          </w:tcPr>
          <w:p w14:paraId="00714CEF">
            <w:pPr>
              <w:rPr>
                <w:rFonts w:ascii="仿宋_GB2312" w:hAnsi="Times New Roman" w:eastAsia="仿宋_GB2312" w:cs="Times New Roman"/>
                <w:color w:val="000000" w:themeColor="text1"/>
                <w:kern w:val="2"/>
                <w:sz w:val="24"/>
                <w:szCs w:val="24"/>
                <w:lang w:val="en-US" w:eastAsia="zh-CN" w:bidi="ar-SA"/>
                <w14:textFill>
                  <w14:solidFill>
                    <w14:schemeClr w14:val="tx1"/>
                  </w14:solidFill>
                </w14:textFill>
              </w:rPr>
            </w:pPr>
          </w:p>
        </w:tc>
        <w:tc>
          <w:tcPr>
            <w:tcW w:w="1267" w:type="dxa"/>
            <w:shd w:val="clear" w:color="auto" w:fill="auto"/>
          </w:tcPr>
          <w:p w14:paraId="75849C24">
            <w:pPr>
              <w:rPr>
                <w:rFonts w:ascii="仿宋_GB2312" w:eastAsia="仿宋_GB2312"/>
                <w:color w:val="000000" w:themeColor="text1"/>
                <w:sz w:val="24"/>
                <w:szCs w:val="24"/>
                <w14:textFill>
                  <w14:solidFill>
                    <w14:schemeClr w14:val="tx1"/>
                  </w14:solidFill>
                </w14:textFill>
              </w:rPr>
            </w:pPr>
          </w:p>
        </w:tc>
      </w:tr>
      <w:tr w14:paraId="2C98B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71" w:type="dxa"/>
            <w:shd w:val="clear" w:color="auto" w:fill="auto"/>
          </w:tcPr>
          <w:p w14:paraId="429071C1">
            <w:pPr>
              <w:rPr>
                <w:rFonts w:ascii="仿宋_GB2312" w:eastAsia="仿宋_GB2312"/>
                <w:color w:val="000000" w:themeColor="text1"/>
                <w:sz w:val="24"/>
                <w:szCs w:val="24"/>
                <w14:textFill>
                  <w14:solidFill>
                    <w14:schemeClr w14:val="tx1"/>
                  </w14:solidFill>
                </w14:textFill>
              </w:rPr>
            </w:pPr>
          </w:p>
        </w:tc>
        <w:tc>
          <w:tcPr>
            <w:tcW w:w="1016" w:type="dxa"/>
            <w:shd w:val="clear" w:color="auto" w:fill="auto"/>
          </w:tcPr>
          <w:p w14:paraId="3F1645A1">
            <w:pPr>
              <w:rPr>
                <w:rFonts w:ascii="仿宋_GB2312" w:eastAsia="仿宋_GB2312"/>
                <w:color w:val="000000" w:themeColor="text1"/>
                <w:sz w:val="24"/>
                <w:szCs w:val="24"/>
                <w14:textFill>
                  <w14:solidFill>
                    <w14:schemeClr w14:val="tx1"/>
                  </w14:solidFill>
                </w14:textFill>
              </w:rPr>
            </w:pPr>
          </w:p>
        </w:tc>
        <w:tc>
          <w:tcPr>
            <w:tcW w:w="1834" w:type="dxa"/>
            <w:shd w:val="clear" w:color="auto" w:fill="auto"/>
          </w:tcPr>
          <w:p w14:paraId="34C02638">
            <w:pPr>
              <w:rPr>
                <w:rFonts w:hint="eastAsia" w:ascii="仿宋_GB2312" w:eastAsia="仿宋_GB2312"/>
                <w:color w:val="000000" w:themeColor="text1"/>
                <w:sz w:val="24"/>
                <w:szCs w:val="24"/>
                <w:lang w:eastAsia="zh-CN"/>
                <w14:textFill>
                  <w14:solidFill>
                    <w14:schemeClr w14:val="tx1"/>
                  </w14:solidFill>
                </w14:textFill>
              </w:rPr>
            </w:pPr>
          </w:p>
        </w:tc>
        <w:tc>
          <w:tcPr>
            <w:tcW w:w="2986" w:type="dxa"/>
            <w:shd w:val="clear" w:color="auto" w:fill="auto"/>
          </w:tcPr>
          <w:p w14:paraId="7D8746DE">
            <w:pPr>
              <w:rPr>
                <w:rFonts w:hint="eastAsia" w:ascii="仿宋_GB2312" w:eastAsia="仿宋_GB2312"/>
                <w:color w:val="000000" w:themeColor="text1"/>
                <w:sz w:val="24"/>
                <w:szCs w:val="24"/>
                <w:lang w:eastAsia="zh-CN"/>
                <w14:textFill>
                  <w14:solidFill>
                    <w14:schemeClr w14:val="tx1"/>
                  </w14:solidFill>
                </w14:textFill>
              </w:rPr>
            </w:pPr>
          </w:p>
        </w:tc>
        <w:tc>
          <w:tcPr>
            <w:tcW w:w="1267" w:type="dxa"/>
            <w:shd w:val="clear" w:color="auto" w:fill="auto"/>
          </w:tcPr>
          <w:p w14:paraId="2151EEDF">
            <w:pPr>
              <w:rPr>
                <w:rFonts w:ascii="仿宋_GB2312" w:eastAsia="仿宋_GB2312"/>
                <w:color w:val="000000" w:themeColor="text1"/>
                <w:sz w:val="24"/>
                <w:szCs w:val="24"/>
                <w14:textFill>
                  <w14:solidFill>
                    <w14:schemeClr w14:val="tx1"/>
                  </w14:solidFill>
                </w14:textFill>
              </w:rPr>
            </w:pPr>
          </w:p>
        </w:tc>
      </w:tr>
    </w:tbl>
    <w:p w14:paraId="1D7D944E">
      <w:pPr>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二、制定标准的必要性和意义</w:t>
      </w:r>
    </w:p>
    <w:p w14:paraId="2F4FDD05">
      <w:pPr>
        <w:ind w:firstLine="643" w:firstLineChars="201"/>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食品快速检测产品具有便携、快速和操作简单等特点，利于现场快速检测。该类产品有助于产品的快速流转和监管，已成为保障食品质量安全的重要技术支撑手段。现阶段由于生产企业研发水平差异、行业标准规范欠缺以及产品准入门槛较低等因素，导致市场上的快速检测产品质量参差不齐，较难满足市场监管和用户的实际需求。</w:t>
      </w:r>
    </w:p>
    <w:p w14:paraId="1EF63EC9">
      <w:pPr>
        <w:ind w:firstLine="643" w:firstLineChars="201"/>
        <w:rPr>
          <w:rStyle w:val="17"/>
          <w:rFonts w:hint="default" w:ascii="仿宋_GB2312" w:hAnsi="仿宋" w:eastAsia="仿宋_GB2312"/>
          <w:color w:val="000000" w:themeColor="text1"/>
          <w:sz w:val="32"/>
          <w:szCs w:val="32"/>
          <w14:textFill>
            <w14:solidFill>
              <w14:schemeClr w14:val="tx1"/>
            </w14:solidFill>
          </w14:textFill>
        </w:rPr>
      </w:pPr>
      <w:r>
        <w:rPr>
          <w:rStyle w:val="17"/>
          <w:rFonts w:hint="default" w:ascii="仿宋_GB2312" w:hAnsi="仿宋" w:eastAsia="仿宋_GB2312"/>
          <w:color w:val="000000" w:themeColor="text1"/>
          <w:sz w:val="32"/>
          <w:szCs w:val="32"/>
          <w14:textFill>
            <w14:solidFill>
              <w14:schemeClr w14:val="tx1"/>
            </w14:solidFill>
          </w14:textFill>
        </w:rPr>
        <w:t>为了保障快检产品质量，规范并指导用户使用，2017年3月，原国家食品药品监督管理</w:t>
      </w:r>
      <w:r>
        <w:rPr>
          <w:rStyle w:val="17"/>
          <w:rFonts w:hint="eastAsia" w:ascii="仿宋_GB2312" w:hAnsi="仿宋" w:eastAsia="仿宋_GB2312"/>
          <w:color w:val="000000" w:themeColor="text1"/>
          <w:sz w:val="32"/>
          <w:szCs w:val="32"/>
          <w:lang w:eastAsia="zh-CN"/>
          <w14:textFill>
            <w14:solidFill>
              <w14:schemeClr w14:val="tx1"/>
            </w14:solidFill>
          </w14:textFill>
        </w:rPr>
        <w:t>总</w:t>
      </w:r>
      <w:bookmarkStart w:id="1" w:name="_GoBack"/>
      <w:bookmarkEnd w:id="1"/>
      <w:r>
        <w:rPr>
          <w:rStyle w:val="17"/>
          <w:rFonts w:hint="default" w:ascii="仿宋_GB2312" w:hAnsi="仿宋" w:eastAsia="仿宋_GB2312"/>
          <w:color w:val="000000" w:themeColor="text1"/>
          <w:sz w:val="32"/>
          <w:szCs w:val="32"/>
          <w14:textFill>
            <w14:solidFill>
              <w14:schemeClr w14:val="tx1"/>
            </w14:solidFill>
          </w14:textFill>
        </w:rPr>
        <w:t>局办公厅发布《食品快速检测方法评价技术规范》（食药监办科</w:t>
      </w:r>
      <w:r>
        <w:rPr>
          <w:rFonts w:hint="eastAsia" w:ascii="仿宋_GB2312" w:hAnsi="仿宋" w:eastAsia="仿宋_GB2312"/>
          <w:color w:val="000000" w:themeColor="text1"/>
          <w:sz w:val="32"/>
          <w:szCs w:val="32"/>
          <w14:textFill>
            <w14:solidFill>
              <w14:schemeClr w14:val="tx1"/>
            </w14:solidFill>
          </w14:textFill>
        </w:rPr>
        <w:t>〔</w:t>
      </w:r>
      <w:r>
        <w:rPr>
          <w:rFonts w:hint="eastAsia" w:ascii="仿宋_GB2312" w:eastAsia="仿宋_GB2312" w:hAnsiTheme="minorEastAsia"/>
          <w:color w:val="000000" w:themeColor="text1"/>
          <w:sz w:val="32"/>
          <w:szCs w:val="32"/>
          <w14:textFill>
            <w14:solidFill>
              <w14:schemeClr w14:val="tx1"/>
            </w14:solidFill>
          </w14:textFill>
        </w:rPr>
        <w:t>20</w:t>
      </w:r>
      <w:r>
        <w:rPr>
          <w:rFonts w:hint="eastAsia" w:ascii="仿宋_GB2312" w:eastAsia="仿宋_GB2312" w:hAnsiTheme="minorEastAsia"/>
          <w:color w:val="000000" w:themeColor="text1"/>
          <w:sz w:val="32"/>
          <w:szCs w:val="32"/>
          <w:lang w:val="en-US" w:eastAsia="zh-CN"/>
          <w14:textFill>
            <w14:solidFill>
              <w14:schemeClr w14:val="tx1"/>
            </w14:solidFill>
          </w14:textFill>
        </w:rPr>
        <w:t>17</w:t>
      </w:r>
      <w:r>
        <w:rPr>
          <w:rFonts w:hint="eastAsia" w:ascii="仿宋_GB2312" w:hAnsi="仿宋" w:eastAsia="仿宋_GB2312"/>
          <w:color w:val="000000" w:themeColor="text1"/>
          <w:sz w:val="32"/>
          <w:szCs w:val="32"/>
          <w14:textFill>
            <w14:solidFill>
              <w14:schemeClr w14:val="tx1"/>
            </w14:solidFill>
          </w14:textFill>
        </w:rPr>
        <w:t>〕</w:t>
      </w:r>
      <w:r>
        <w:rPr>
          <w:rStyle w:val="17"/>
          <w:rFonts w:hint="default" w:ascii="仿宋_GB2312" w:hAnsi="仿宋" w:eastAsia="仿宋_GB2312"/>
          <w:color w:val="000000" w:themeColor="text1"/>
          <w:sz w:val="32"/>
          <w:szCs w:val="32"/>
          <w14:textFill>
            <w14:solidFill>
              <w14:schemeClr w14:val="tx1"/>
            </w14:solidFill>
          </w14:textFill>
        </w:rPr>
        <w:t>43号）。然而，该技术规范在具体实施过程中仍存在一些困难和争议之处，导致食品快速检测产品评价工作不能高效开展。</w:t>
      </w:r>
      <w:r>
        <w:rPr>
          <w:rStyle w:val="17"/>
          <w:rFonts w:hint="eastAsia" w:ascii="仿宋_GB2312" w:hAnsi="仿宋" w:eastAsia="仿宋_GB2312"/>
          <w:color w:val="000000" w:themeColor="text1"/>
          <w:sz w:val="32"/>
          <w:szCs w:val="32"/>
          <w:lang w:eastAsia="zh-CN"/>
          <w14:textFill>
            <w14:solidFill>
              <w14:schemeClr w14:val="tx1"/>
            </w14:solidFill>
          </w14:textFill>
        </w:rPr>
        <w:t>国家市场监督管理总局</w:t>
      </w:r>
      <w:r>
        <w:rPr>
          <w:rStyle w:val="17"/>
          <w:rFonts w:hint="default" w:ascii="仿宋_GB2312" w:hAnsi="仿宋" w:eastAsia="仿宋_GB2312"/>
          <w:color w:val="000000" w:themeColor="text1"/>
          <w:sz w:val="32"/>
          <w:szCs w:val="32"/>
          <w14:textFill>
            <w14:solidFill>
              <w14:schemeClr w14:val="tx1"/>
            </w14:solidFill>
          </w14:textFill>
        </w:rPr>
        <w:t>于2023年1月发布了《市场监管总局关于规范食品快速检测使用的意见》（国市监食检规〔2023〕1号）</w:t>
      </w:r>
      <w:r>
        <w:rPr>
          <w:rStyle w:val="17"/>
          <w:rFonts w:hint="eastAsia" w:ascii="仿宋_GB2312" w:hAnsi="仿宋" w:eastAsia="仿宋_GB2312"/>
          <w:color w:val="000000" w:themeColor="text1"/>
          <w:sz w:val="32"/>
          <w:szCs w:val="32"/>
          <w:lang w:eastAsia="zh-CN"/>
          <w14:textFill>
            <w14:solidFill>
              <w14:schemeClr w14:val="tx1"/>
            </w14:solidFill>
          </w14:textFill>
        </w:rPr>
        <w:t>，在该文件中规定了“食品快速检测产品符合性评价程序”，可作为本标准的参考文件。</w:t>
      </w:r>
    </w:p>
    <w:p w14:paraId="7290A8FE">
      <w:pPr>
        <w:ind w:firstLine="643" w:firstLineChars="201"/>
        <w:rPr>
          <w:rFonts w:ascii="仿宋_GB2312" w:hAnsi="仿宋" w:eastAsia="仿宋_GB2312"/>
          <w:color w:val="000000" w:themeColor="text1"/>
          <w:sz w:val="32"/>
          <w:szCs w:val="32"/>
          <w14:textFill>
            <w14:solidFill>
              <w14:schemeClr w14:val="tx1"/>
            </w14:solidFill>
          </w14:textFill>
        </w:rPr>
      </w:pPr>
      <w:r>
        <w:rPr>
          <w:rStyle w:val="17"/>
          <w:rFonts w:hint="default" w:ascii="仿宋_GB2312" w:hAnsi="仿宋" w:eastAsia="仿宋_GB2312"/>
          <w:color w:val="000000" w:themeColor="text1"/>
          <w:sz w:val="32"/>
          <w:szCs w:val="32"/>
          <w14:textFill>
            <w14:solidFill>
              <w14:schemeClr w14:val="tx1"/>
            </w14:solidFill>
          </w14:textFill>
        </w:rPr>
        <w:t>本标准的制定将充分考虑了我省省情、进一步细化和明确了相关评价指标，提高快检产品评价规范的可操作性。这对我省开展科学、规范的快检产品评价工作具有非常重要的现实意义。</w:t>
      </w:r>
    </w:p>
    <w:p w14:paraId="3C71C354">
      <w:pPr>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三、主要起草过程</w:t>
      </w:r>
    </w:p>
    <w:p w14:paraId="70080ECB">
      <w:pPr>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任务下达后，该标准由江西省</w:t>
      </w:r>
      <w:r>
        <w:rPr>
          <w:rFonts w:hint="eastAsia" w:ascii="仿宋_GB2312" w:eastAsia="仿宋_GB2312"/>
          <w:color w:val="000000" w:themeColor="text1"/>
          <w:sz w:val="32"/>
          <w:szCs w:val="32"/>
          <w:lang w:eastAsia="zh-CN"/>
          <w14:textFill>
            <w14:solidFill>
              <w14:schemeClr w14:val="tx1"/>
            </w14:solidFill>
          </w14:textFill>
        </w:rPr>
        <w:t>检验检测认证总院</w:t>
      </w:r>
      <w:r>
        <w:rPr>
          <w:rFonts w:hint="eastAsia" w:ascii="仿宋_GB2312" w:eastAsia="仿宋_GB2312"/>
          <w:color w:val="000000" w:themeColor="text1"/>
          <w:sz w:val="32"/>
          <w:szCs w:val="32"/>
          <w14:textFill>
            <w14:solidFill>
              <w14:schemeClr w14:val="tx1"/>
            </w14:solidFill>
          </w14:textFill>
        </w:rPr>
        <w:t>食品检验检测研究院牵头，相关起草单位技术骨干人员组成了标准起草小组。随后召开了项目启动会，拟定了工作方案并进行了人员分工。</w:t>
      </w:r>
    </w:p>
    <w:p w14:paraId="32CDF23D">
      <w:pPr>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为了进一步了解快速检测产品评价工作现状，梳理工作中遇到的难点，20</w:t>
      </w:r>
      <w:r>
        <w:rPr>
          <w:rFonts w:hint="eastAsia" w:ascii="仿宋_GB2312" w:eastAsia="仿宋_GB2312"/>
          <w:color w:val="000000" w:themeColor="text1"/>
          <w:sz w:val="32"/>
          <w:szCs w:val="32"/>
          <w:lang w:val="en-US" w:eastAsia="zh-CN"/>
          <w14:textFill>
            <w14:solidFill>
              <w14:schemeClr w14:val="tx1"/>
            </w14:solidFill>
          </w14:textFill>
        </w:rPr>
        <w:t>24</w:t>
      </w:r>
      <w:r>
        <w:rPr>
          <w:rFonts w:hint="eastAsia" w:ascii="仿宋_GB2312" w:eastAsia="仿宋_GB2312"/>
          <w:color w:val="000000" w:themeColor="text1"/>
          <w:sz w:val="32"/>
          <w:szCs w:val="32"/>
          <w14:textFill>
            <w14:solidFill>
              <w14:schemeClr w14:val="tx1"/>
            </w14:solidFill>
          </w14:textFill>
        </w:rPr>
        <w:t>年</w:t>
      </w:r>
      <w:r>
        <w:rPr>
          <w:rFonts w:hint="eastAsia" w:ascii="仿宋_GB2312" w:eastAsia="仿宋_GB2312"/>
          <w:color w:val="000000" w:themeColor="text1"/>
          <w:sz w:val="32"/>
          <w:szCs w:val="32"/>
          <w:lang w:val="en-US" w:eastAsia="zh-CN"/>
          <w14:textFill>
            <w14:solidFill>
              <w14:schemeClr w14:val="tx1"/>
            </w14:solidFill>
          </w14:textFill>
        </w:rPr>
        <w:t>04-06</w:t>
      </w:r>
      <w:r>
        <w:rPr>
          <w:rFonts w:hint="eastAsia" w:ascii="仿宋_GB2312" w:eastAsia="仿宋_GB2312"/>
          <w:color w:val="000000" w:themeColor="text1"/>
          <w:sz w:val="32"/>
          <w:szCs w:val="32"/>
          <w14:textFill>
            <w14:solidFill>
              <w14:schemeClr w14:val="tx1"/>
            </w14:solidFill>
          </w14:textFill>
        </w:rPr>
        <w:t>月，起草小组对本单位开展过的快检产品工作进行了分析和总结，涉及1</w:t>
      </w:r>
      <w:r>
        <w:rPr>
          <w:rFonts w:hint="eastAsia" w:ascii="仿宋_GB2312" w:eastAsia="仿宋_GB2312"/>
          <w:color w:val="000000" w:themeColor="text1"/>
          <w:sz w:val="32"/>
          <w:szCs w:val="32"/>
          <w:lang w:val="en-US" w:eastAsia="zh-CN"/>
          <w14:textFill>
            <w14:solidFill>
              <w14:schemeClr w14:val="tx1"/>
            </w14:solidFill>
          </w14:textFill>
        </w:rPr>
        <w:t>0种快检产品</w:t>
      </w:r>
      <w:r>
        <w:rPr>
          <w:rFonts w:hint="eastAsia" w:ascii="仿宋_GB2312" w:eastAsia="仿宋_GB2312"/>
          <w:color w:val="000000" w:themeColor="text1"/>
          <w:sz w:val="32"/>
          <w:szCs w:val="32"/>
          <w14:textFill>
            <w14:solidFill>
              <w14:schemeClr w14:val="tx1"/>
            </w14:solidFill>
          </w14:textFill>
        </w:rPr>
        <w:t>。同时，对主要的快检产品生产商，如</w:t>
      </w:r>
      <w:r>
        <w:rPr>
          <w:rFonts w:hint="eastAsia" w:ascii="仿宋_GB2312" w:hAnsi="宋体" w:eastAsia="仿宋_GB2312"/>
          <w:color w:val="000000" w:themeColor="text1"/>
          <w:sz w:val="32"/>
          <w:szCs w:val="32"/>
          <w:lang w:eastAsia="zh-CN"/>
          <w14:textFill>
            <w14:solidFill>
              <w14:schemeClr w14:val="tx1"/>
            </w14:solidFill>
          </w14:textFill>
        </w:rPr>
        <w:t>勤邦</w:t>
      </w:r>
      <w:r>
        <w:rPr>
          <w:rFonts w:hint="eastAsia" w:ascii="仿宋_GB2312" w:hAnsi="宋体" w:eastAsia="仿宋_GB2312"/>
          <w:color w:val="000000" w:themeColor="text1"/>
          <w:sz w:val="32"/>
          <w:szCs w:val="32"/>
          <w14:textFill>
            <w14:solidFill>
              <w14:schemeClr w14:val="tx1"/>
            </w14:solidFill>
          </w14:textFill>
        </w:rPr>
        <w:t>、</w:t>
      </w:r>
      <w:r>
        <w:rPr>
          <w:rFonts w:hint="eastAsia" w:ascii="仿宋_GB2312" w:eastAsia="仿宋_GB2312" w:hAnsiTheme="minorEastAsia"/>
          <w:color w:val="000000" w:themeColor="text1"/>
          <w:sz w:val="32"/>
          <w:szCs w:val="32"/>
          <w:lang w:eastAsia="zh-CN"/>
          <w14:textFill>
            <w14:solidFill>
              <w14:schemeClr w14:val="tx1"/>
            </w14:solidFill>
          </w14:textFill>
        </w:rPr>
        <w:t>维德维康</w:t>
      </w:r>
      <w:r>
        <w:rPr>
          <w:rFonts w:hint="eastAsia" w:ascii="仿宋_GB2312" w:eastAsia="仿宋_GB2312" w:hAnsiTheme="minorEastAsia"/>
          <w:color w:val="000000" w:themeColor="text1"/>
          <w:sz w:val="32"/>
          <w:szCs w:val="32"/>
          <w14:textFill>
            <w14:solidFill>
              <w14:schemeClr w14:val="tx1"/>
            </w14:solidFill>
          </w14:textFill>
        </w:rPr>
        <w:t>、</w:t>
      </w:r>
      <w:r>
        <w:rPr>
          <w:rFonts w:hint="eastAsia" w:ascii="仿宋_GB2312" w:hAnsi="宋体" w:eastAsia="仿宋_GB2312"/>
          <w:color w:val="000000" w:themeColor="text1"/>
          <w:sz w:val="32"/>
          <w:szCs w:val="32"/>
          <w:lang w:eastAsia="zh-CN"/>
          <w14:textFill>
            <w14:solidFill>
              <w14:schemeClr w14:val="tx1"/>
            </w14:solidFill>
          </w14:textFill>
        </w:rPr>
        <w:t>易瑞</w:t>
      </w:r>
      <w:r>
        <w:rPr>
          <w:rFonts w:hint="eastAsia" w:ascii="仿宋_GB2312" w:hAnsi="宋体" w:eastAsia="仿宋_GB2312"/>
          <w:color w:val="000000" w:themeColor="text1"/>
          <w:sz w:val="32"/>
          <w:szCs w:val="32"/>
          <w14:textFill>
            <w14:solidFill>
              <w14:schemeClr w14:val="tx1"/>
            </w14:solidFill>
          </w14:textFill>
        </w:rPr>
        <w:t>、</w:t>
      </w:r>
      <w:r>
        <w:rPr>
          <w:rFonts w:hint="eastAsia" w:ascii="仿宋_GB2312" w:hAnsi="宋体" w:eastAsia="仿宋_GB2312"/>
          <w:color w:val="000000" w:themeColor="text1"/>
          <w:sz w:val="32"/>
          <w:szCs w:val="32"/>
          <w:lang w:eastAsia="zh-CN"/>
          <w14:textFill>
            <w14:solidFill>
              <w14:schemeClr w14:val="tx1"/>
            </w14:solidFill>
          </w14:textFill>
        </w:rPr>
        <w:t>美正</w:t>
      </w:r>
      <w:r>
        <w:rPr>
          <w:rFonts w:hint="eastAsia" w:ascii="仿宋_GB2312" w:eastAsia="仿宋_GB2312" w:hAnsiTheme="minorEastAsia"/>
          <w:color w:val="000000" w:themeColor="text1"/>
          <w:sz w:val="32"/>
          <w:szCs w:val="32"/>
          <w14:textFill>
            <w14:solidFill>
              <w14:schemeClr w14:val="tx1"/>
            </w14:solidFill>
          </w14:textFill>
        </w:rPr>
        <w:t>等生产的快检产品现状进行了仔细</w:t>
      </w:r>
      <w:r>
        <w:rPr>
          <w:rFonts w:hint="eastAsia" w:ascii="仿宋_GB2312" w:eastAsia="仿宋_GB2312"/>
          <w:color w:val="000000" w:themeColor="text1"/>
          <w:sz w:val="32"/>
          <w:szCs w:val="32"/>
          <w14:textFill>
            <w14:solidFill>
              <w14:schemeClr w14:val="tx1"/>
            </w14:solidFill>
          </w14:textFill>
        </w:rPr>
        <w:t>考察。</w:t>
      </w:r>
    </w:p>
    <w:p w14:paraId="4B645884">
      <w:pPr>
        <w:ind w:firstLine="643" w:firstLineChars="201"/>
        <w:rPr>
          <w:rFonts w:ascii="仿宋_GB2312" w:eastAsia="仿宋_GB2312" w:hAnsiTheme="minorEastAsia"/>
          <w:color w:val="000000" w:themeColor="text1"/>
          <w:sz w:val="32"/>
          <w:szCs w:val="32"/>
          <w14:textFill>
            <w14:solidFill>
              <w14:schemeClr w14:val="tx1"/>
            </w14:solidFill>
          </w14:textFill>
        </w:rPr>
      </w:pPr>
      <w:r>
        <w:rPr>
          <w:rFonts w:hint="eastAsia" w:ascii="仿宋_GB2312" w:eastAsia="仿宋_GB2312" w:hAnsiTheme="minorEastAsia"/>
          <w:color w:val="000000" w:themeColor="text1"/>
          <w:sz w:val="32"/>
          <w:szCs w:val="32"/>
          <w14:textFill>
            <w14:solidFill>
              <w14:schemeClr w14:val="tx1"/>
            </w14:solidFill>
          </w14:textFill>
        </w:rPr>
        <w:t>起草小组一方面是在参考相关国家标准、行业标准和地方标准的基础上，确定标准的结构框架，对食品快速检测产品评价技术进行规范；另一方面</w:t>
      </w:r>
      <w:r>
        <w:rPr>
          <w:rFonts w:hint="eastAsia" w:ascii="仿宋_GB2312" w:eastAsia="仿宋_GB2312" w:hAnsiTheme="minorEastAsia"/>
          <w:color w:val="000000" w:themeColor="text1"/>
          <w:sz w:val="32"/>
          <w:szCs w:val="32"/>
          <w:lang w:eastAsia="zh-CN"/>
          <w14:textFill>
            <w14:solidFill>
              <w14:schemeClr w14:val="tx1"/>
            </w14:solidFill>
          </w14:textFill>
        </w:rPr>
        <w:t>参考</w:t>
      </w:r>
      <w:r>
        <w:rPr>
          <w:rStyle w:val="17"/>
          <w:rFonts w:hint="default" w:ascii="仿宋_GB2312" w:hAnsi="仿宋" w:eastAsia="仿宋_GB2312"/>
          <w:color w:val="000000" w:themeColor="text1"/>
          <w:sz w:val="32"/>
          <w:szCs w:val="32"/>
          <w14:textFill>
            <w14:solidFill>
              <w14:schemeClr w14:val="tx1"/>
            </w14:solidFill>
          </w14:textFill>
        </w:rPr>
        <w:t>《市场监管总局关于规范食品快速检测使用的意见》（国市监食检规〔2023〕1号）</w:t>
      </w:r>
      <w:r>
        <w:rPr>
          <w:rFonts w:hint="eastAsia" w:ascii="仿宋_GB2312" w:eastAsia="仿宋_GB2312" w:hAnsiTheme="minorEastAsia"/>
          <w:color w:val="000000" w:themeColor="text1"/>
          <w:sz w:val="32"/>
          <w:szCs w:val="32"/>
          <w14:textFill>
            <w14:solidFill>
              <w14:schemeClr w14:val="tx1"/>
            </w14:solidFill>
          </w14:textFill>
        </w:rPr>
        <w:t>文件要求，并考虑我省地域特色和快检产品评价工作开展的实际情况开展标准制定工作，</w:t>
      </w:r>
      <w:r>
        <w:rPr>
          <w:rFonts w:hint="eastAsia" w:ascii="仿宋_GB2312" w:eastAsia="仿宋_GB2312"/>
          <w:color w:val="000000" w:themeColor="text1"/>
          <w:sz w:val="32"/>
          <w:szCs w:val="32"/>
          <w14:textFill>
            <w14:solidFill>
              <w14:schemeClr w14:val="tx1"/>
            </w14:solidFill>
          </w14:textFill>
        </w:rPr>
        <w:t>202</w:t>
      </w:r>
      <w:r>
        <w:rPr>
          <w:rFonts w:hint="eastAsia" w:ascii="仿宋_GB2312" w:eastAsia="仿宋_GB2312"/>
          <w:color w:val="000000" w:themeColor="text1"/>
          <w:sz w:val="32"/>
          <w:szCs w:val="32"/>
          <w:lang w:val="en-US" w:eastAsia="zh-CN"/>
          <w14:textFill>
            <w14:solidFill>
              <w14:schemeClr w14:val="tx1"/>
            </w14:solidFill>
          </w14:textFill>
        </w:rPr>
        <w:t>4</w:t>
      </w:r>
      <w:r>
        <w:rPr>
          <w:rFonts w:hint="eastAsia" w:ascii="仿宋_GB2312" w:eastAsia="仿宋_GB2312" w:hAnsiTheme="minorEastAsia"/>
          <w:color w:val="000000" w:themeColor="text1"/>
          <w:sz w:val="32"/>
          <w:szCs w:val="32"/>
          <w14:textFill>
            <w14:solidFill>
              <w14:schemeClr w14:val="tx1"/>
            </w14:solidFill>
          </w14:textFill>
        </w:rPr>
        <w:t>年</w:t>
      </w:r>
      <w:r>
        <w:rPr>
          <w:rFonts w:hint="eastAsia" w:ascii="仿宋_GB2312" w:eastAsia="仿宋_GB2312"/>
          <w:color w:val="000000" w:themeColor="text1"/>
          <w:sz w:val="32"/>
          <w:szCs w:val="32"/>
          <w:lang w:val="en-US" w:eastAsia="zh-CN"/>
          <w14:textFill>
            <w14:solidFill>
              <w14:schemeClr w14:val="tx1"/>
            </w14:solidFill>
          </w14:textFill>
        </w:rPr>
        <w:t>8</w:t>
      </w:r>
      <w:r>
        <w:rPr>
          <w:rFonts w:hint="eastAsia" w:ascii="仿宋_GB2312" w:eastAsia="仿宋_GB2312" w:hAnsiTheme="minorEastAsia"/>
          <w:color w:val="000000" w:themeColor="text1"/>
          <w:sz w:val="32"/>
          <w:szCs w:val="32"/>
          <w14:textFill>
            <w14:solidFill>
              <w14:schemeClr w14:val="tx1"/>
            </w14:solidFill>
          </w14:textFill>
        </w:rPr>
        <w:t>月形成标准初稿及相关的编制说明。</w:t>
      </w:r>
    </w:p>
    <w:p w14:paraId="345BA48A">
      <w:pPr>
        <w:ind w:firstLine="640" w:firstLineChars="200"/>
        <w:rPr>
          <w:rFonts w:ascii="仿宋_GB2312" w:eastAsia="仿宋_GB2312"/>
          <w:color w:val="000000" w:themeColor="text1"/>
          <w:sz w:val="32"/>
          <w:szCs w:val="32"/>
          <w:highlight w:val="yellow"/>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202</w:t>
      </w:r>
      <w:r>
        <w:rPr>
          <w:rFonts w:hint="eastAsia" w:ascii="仿宋_GB2312" w:eastAsia="仿宋_GB2312"/>
          <w:color w:val="000000" w:themeColor="text1"/>
          <w:sz w:val="32"/>
          <w:szCs w:val="32"/>
          <w:lang w:val="en-US" w:eastAsia="zh-CN"/>
          <w14:textFill>
            <w14:solidFill>
              <w14:schemeClr w14:val="tx1"/>
            </w14:solidFill>
          </w14:textFill>
        </w:rPr>
        <w:t>4</w:t>
      </w:r>
      <w:r>
        <w:rPr>
          <w:rFonts w:hint="eastAsia" w:ascii="仿宋_GB2312" w:eastAsia="仿宋_GB2312"/>
          <w:color w:val="000000" w:themeColor="text1"/>
          <w:sz w:val="32"/>
          <w:szCs w:val="32"/>
          <w14:textFill>
            <w14:solidFill>
              <w14:schemeClr w14:val="tx1"/>
            </w14:solidFill>
          </w14:textFill>
        </w:rPr>
        <w:t>年</w:t>
      </w:r>
      <w:r>
        <w:rPr>
          <w:rFonts w:hint="eastAsia" w:ascii="仿宋_GB2312" w:eastAsia="仿宋_GB2312"/>
          <w:color w:val="000000" w:themeColor="text1"/>
          <w:sz w:val="32"/>
          <w:szCs w:val="32"/>
          <w:lang w:val="en-US" w:eastAsia="zh-CN"/>
          <w14:textFill>
            <w14:solidFill>
              <w14:schemeClr w14:val="tx1"/>
            </w14:solidFill>
          </w14:textFill>
        </w:rPr>
        <w:t>8</w:t>
      </w:r>
      <w:r>
        <w:rPr>
          <w:rFonts w:hint="eastAsia" w:ascii="仿宋_GB2312" w:eastAsia="仿宋_GB2312"/>
          <w:color w:val="000000" w:themeColor="text1"/>
          <w:sz w:val="32"/>
          <w:szCs w:val="32"/>
          <w14:textFill>
            <w14:solidFill>
              <w14:schemeClr w14:val="tx1"/>
            </w14:solidFill>
          </w14:textFill>
        </w:rPr>
        <w:t>月，邀请</w:t>
      </w:r>
      <w:r>
        <w:rPr>
          <w:rFonts w:hint="eastAsia" w:ascii="仿宋_GB2312" w:eastAsia="仿宋_GB2312"/>
          <w:color w:val="000000" w:themeColor="text1"/>
          <w:sz w:val="32"/>
          <w:szCs w:val="32"/>
          <w:lang w:val="en-US" w:eastAsia="zh-CN"/>
          <w14:textFill>
            <w14:solidFill>
              <w14:schemeClr w14:val="tx1"/>
            </w14:solidFill>
          </w14:textFill>
        </w:rPr>
        <w:t>中国检验检疫科学研究院、江西省农产品质量安全检测中心</w:t>
      </w:r>
      <w:r>
        <w:rPr>
          <w:rFonts w:hint="eastAsia" w:ascii="仿宋_GB2312" w:eastAsia="仿宋_GB2312"/>
          <w:color w:val="000000" w:themeColor="text1"/>
          <w:sz w:val="32"/>
          <w:szCs w:val="32"/>
          <w14:textFill>
            <w14:solidFill>
              <w14:schemeClr w14:val="tx1"/>
            </w14:solidFill>
          </w14:textFill>
        </w:rPr>
        <w:t>等单位的专家对</w:t>
      </w:r>
      <w:r>
        <w:rPr>
          <w:rFonts w:hint="eastAsia" w:ascii="仿宋_GB2312" w:eastAsia="仿宋_GB2312"/>
          <w:color w:val="000000" w:themeColor="text1"/>
          <w:sz w:val="32"/>
          <w:szCs w:val="32"/>
          <w:lang w:eastAsia="zh-CN"/>
          <w14:textFill>
            <w14:solidFill>
              <w14:schemeClr w14:val="tx1"/>
            </w14:solidFill>
          </w14:textFill>
        </w:rPr>
        <w:t>标准初稿进行讨论</w:t>
      </w:r>
      <w:r>
        <w:rPr>
          <w:rFonts w:hint="eastAsia" w:ascii="仿宋_GB2312" w:eastAsia="仿宋_GB2312"/>
          <w:color w:val="000000" w:themeColor="text1"/>
          <w:sz w:val="32"/>
          <w:szCs w:val="32"/>
          <w14:textFill>
            <w14:solidFill>
              <w14:schemeClr w14:val="tx1"/>
            </w14:solidFill>
          </w14:textFill>
        </w:rPr>
        <w:t>，会上专家们主要对标准的格式、评价指标的确定和评价方案的可操作性等问题提出了质询、意见和建议，项目组根据专家的意见进行了修改完善。</w:t>
      </w:r>
    </w:p>
    <w:p w14:paraId="31A5E0F8">
      <w:pPr>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四、制定标准的原则和依据，与现行法律、法规、标准的关系</w:t>
      </w:r>
    </w:p>
    <w:p w14:paraId="6D46EBE9">
      <w:pPr>
        <w:ind w:firstLine="640" w:firstLineChars="200"/>
        <w:rPr>
          <w:rFonts w:ascii="仿宋_GB2312" w:hAnsi="仿宋" w:eastAsia="仿宋_GB2312"/>
          <w:color w:val="000000" w:themeColor="text1"/>
          <w:sz w:val="32"/>
          <w:szCs w:val="32"/>
          <w14:textFill>
            <w14:solidFill>
              <w14:schemeClr w14:val="tx1"/>
            </w14:solidFill>
          </w14:textFill>
        </w:rPr>
      </w:pPr>
      <w:r>
        <w:rPr>
          <w:rFonts w:hint="eastAsia" w:ascii="仿宋_GB2312" w:hAnsi="仿宋" w:eastAsia="仿宋_GB2312"/>
          <w:color w:val="000000" w:themeColor="text1"/>
          <w:sz w:val="32"/>
          <w:szCs w:val="32"/>
          <w14:textFill>
            <w14:solidFill>
              <w14:schemeClr w14:val="tx1"/>
            </w14:solidFill>
          </w14:textFill>
        </w:rPr>
        <w:t>《食品快速检测产品评价技术规范》一方面是在参考相关国家标准、行业标准和地方标准的基础上，确定标准的结构框架，对食品快速检测产品评价技术进行规范；另一方面贯彻落实</w:t>
      </w:r>
      <w:r>
        <w:rPr>
          <w:rStyle w:val="17"/>
          <w:rFonts w:hint="default" w:ascii="仿宋_GB2312" w:hAnsi="仿宋" w:eastAsia="仿宋_GB2312"/>
          <w:color w:val="000000" w:themeColor="text1"/>
          <w:sz w:val="32"/>
          <w:szCs w:val="32"/>
          <w14:textFill>
            <w14:solidFill>
              <w14:schemeClr w14:val="tx1"/>
            </w14:solidFill>
          </w14:textFill>
        </w:rPr>
        <w:t>《市场监管总局关于规范食品快速检测使用的意见》（国市监食检规〔2023〕1号）</w:t>
      </w:r>
      <w:r>
        <w:rPr>
          <w:rFonts w:hint="eastAsia" w:ascii="仿宋_GB2312" w:hAnsi="仿宋" w:eastAsia="仿宋_GB2312"/>
          <w:color w:val="000000" w:themeColor="text1"/>
          <w:sz w:val="32"/>
          <w:szCs w:val="32"/>
          <w14:textFill>
            <w14:solidFill>
              <w14:schemeClr w14:val="tx1"/>
            </w14:solidFill>
          </w14:textFill>
        </w:rPr>
        <w:t>，并结合我省快检产品评价工作开展的实际情况制定了该标准。</w:t>
      </w:r>
    </w:p>
    <w:p w14:paraId="2D7F16AD">
      <w:pPr>
        <w:rPr>
          <w:rFonts w:ascii="楷体_GB2312" w:eastAsia="楷体_GB2312"/>
          <w:color w:val="000000" w:themeColor="text1"/>
          <w:sz w:val="32"/>
          <w:szCs w:val="32"/>
          <w14:textFill>
            <w14:solidFill>
              <w14:schemeClr w14:val="tx1"/>
            </w14:solidFill>
          </w14:textFill>
        </w:rPr>
      </w:pPr>
      <w:r>
        <w:rPr>
          <w:rFonts w:hint="eastAsia" w:ascii="楷体_GB2312" w:eastAsia="楷体_GB2312"/>
          <w:color w:val="000000" w:themeColor="text1"/>
          <w:sz w:val="32"/>
          <w:szCs w:val="32"/>
          <w14:textFill>
            <w14:solidFill>
              <w14:schemeClr w14:val="tx1"/>
            </w14:solidFill>
          </w14:textFill>
        </w:rPr>
        <w:t>（一）与我国有关法律法规的关系</w:t>
      </w:r>
    </w:p>
    <w:p w14:paraId="6F8B5837">
      <w:pPr>
        <w:ind w:firstLine="640" w:firstLineChars="200"/>
        <w:rPr>
          <w:rFonts w:ascii="仿宋_GB2312" w:eastAsia="仿宋_GB2312"/>
          <w:color w:val="000000" w:themeColor="text1"/>
          <w:sz w:val="32"/>
          <w:szCs w:val="32"/>
          <w14:textFill>
            <w14:solidFill>
              <w14:schemeClr w14:val="tx1"/>
            </w14:solidFill>
          </w14:textFill>
        </w:rPr>
      </w:pPr>
      <w:r>
        <w:rPr>
          <w:rFonts w:ascii="仿宋_GB2312" w:eastAsia="仿宋_GB2312"/>
          <w:color w:val="000000" w:themeColor="text1"/>
          <w:sz w:val="32"/>
          <w:szCs w:val="32"/>
          <w14:textFill>
            <w14:solidFill>
              <w14:schemeClr w14:val="tx1"/>
            </w14:solidFill>
          </w14:textFill>
        </w:rPr>
        <mc:AlternateContent>
          <mc:Choice Requires="wpg">
            <w:drawing>
              <wp:anchor distT="0" distB="0" distL="114300" distR="114300" simplePos="0" relativeHeight="251659264" behindDoc="0" locked="0" layoutInCell="1" allowOverlap="1">
                <wp:simplePos x="0" y="0"/>
                <wp:positionH relativeFrom="column">
                  <wp:posOffset>9125585</wp:posOffset>
                </wp:positionH>
                <wp:positionV relativeFrom="paragraph">
                  <wp:posOffset>1021080</wp:posOffset>
                </wp:positionV>
                <wp:extent cx="20115530" cy="5003800"/>
                <wp:effectExtent l="0" t="0" r="1270" b="358984550"/>
                <wp:wrapNone/>
                <wp:docPr id="7" name="组合 13"/>
                <wp:cNvGraphicFramePr/>
                <a:graphic xmlns:a="http://schemas.openxmlformats.org/drawingml/2006/main">
                  <a:graphicData uri="http://schemas.microsoft.com/office/word/2010/wordprocessingGroup">
                    <wpg:wgp>
                      <wpg:cNvGrpSpPr/>
                      <wpg:grpSpPr>
                        <a:xfrm>
                          <a:off x="0" y="0"/>
                          <a:ext cx="20115530" cy="5003800"/>
                          <a:chOff x="0" y="0"/>
                          <a:chExt cx="292409" cy="1000"/>
                        </a:xfrm>
                      </wpg:grpSpPr>
                      <pic:pic xmlns:pic="http://schemas.openxmlformats.org/drawingml/2006/picture">
                        <pic:nvPicPr>
                          <pic:cNvPr id="1" name="图片 2"/>
                          <pic:cNvPicPr>
                            <a:picLocks noChangeAspect="1"/>
                          </pic:cNvPicPr>
                        </pic:nvPicPr>
                        <pic:blipFill>
                          <a:blip r:embed="rId4"/>
                          <a:stretch>
                            <a:fillRect/>
                          </a:stretch>
                        </pic:blipFill>
                        <pic:spPr>
                          <a:xfrm>
                            <a:off x="0" y="0"/>
                            <a:ext cx="96985" cy="72739"/>
                          </a:xfrm>
                          <a:prstGeom prst="rect">
                            <a:avLst/>
                          </a:prstGeom>
                          <a:noFill/>
                          <a:ln>
                            <a:noFill/>
                          </a:ln>
                        </pic:spPr>
                      </pic:pic>
                      <pic:pic xmlns:pic="http://schemas.openxmlformats.org/drawingml/2006/picture">
                        <pic:nvPicPr>
                          <pic:cNvPr id="2" name="图片 3"/>
                          <pic:cNvPicPr>
                            <a:picLocks noChangeAspect="1"/>
                          </pic:cNvPicPr>
                        </pic:nvPicPr>
                        <pic:blipFill>
                          <a:blip r:embed="rId5"/>
                          <a:stretch>
                            <a:fillRect/>
                          </a:stretch>
                        </pic:blipFill>
                        <pic:spPr>
                          <a:xfrm>
                            <a:off x="97712" y="0"/>
                            <a:ext cx="96985" cy="72739"/>
                          </a:xfrm>
                          <a:prstGeom prst="rect">
                            <a:avLst/>
                          </a:prstGeom>
                          <a:noFill/>
                          <a:ln>
                            <a:noFill/>
                          </a:ln>
                        </pic:spPr>
                      </pic:pic>
                      <pic:pic xmlns:pic="http://schemas.openxmlformats.org/drawingml/2006/picture">
                        <pic:nvPicPr>
                          <pic:cNvPr id="3" name="图片 4"/>
                          <pic:cNvPicPr>
                            <a:picLocks noChangeAspect="1"/>
                          </pic:cNvPicPr>
                        </pic:nvPicPr>
                        <pic:blipFill>
                          <a:blip r:embed="rId6"/>
                          <a:stretch>
                            <a:fillRect/>
                          </a:stretch>
                        </pic:blipFill>
                        <pic:spPr>
                          <a:xfrm>
                            <a:off x="195424" y="0"/>
                            <a:ext cx="96985" cy="72739"/>
                          </a:xfrm>
                          <a:prstGeom prst="rect">
                            <a:avLst/>
                          </a:prstGeom>
                          <a:noFill/>
                          <a:ln>
                            <a:noFill/>
                          </a:ln>
                        </pic:spPr>
                      </pic:pic>
                      <wps:wsp>
                        <wps:cNvPr id="4" name="文本框 7"/>
                        <wps:cNvSpPr txBox="1"/>
                        <wps:spPr>
                          <a:xfrm>
                            <a:off x="590" y="590"/>
                            <a:ext cx="8655" cy="14783"/>
                          </a:xfrm>
                          <a:prstGeom prst="rect">
                            <a:avLst/>
                          </a:prstGeom>
                          <a:solidFill>
                            <a:srgbClr val="FFFFFF"/>
                          </a:solidFill>
                          <a:ln>
                            <a:noFill/>
                          </a:ln>
                        </wps:spPr>
                        <wps:txbx>
                          <w:txbxContent>
                            <w:p w14:paraId="5314DC0C">
                              <w:pPr>
                                <w:pStyle w:val="6"/>
                                <w:spacing w:before="0" w:beforeAutospacing="0" w:after="0" w:afterAutospacing="0"/>
                              </w:pPr>
                              <w:r>
                                <w:rPr>
                                  <w:rFonts w:hint="eastAsia" w:ascii="等线" w:hAnsi="等线" w:eastAsia="等线" w:cs="Times New Roman"/>
                                  <w:b/>
                                  <w:bCs/>
                                  <w:color w:val="000000"/>
                                  <w:kern w:val="24"/>
                                  <w:sz w:val="160"/>
                                  <w:szCs w:val="160"/>
                                </w:rPr>
                                <w:t>A</w:t>
                              </w:r>
                            </w:p>
                          </w:txbxContent>
                        </wps:txbx>
                        <wps:bodyPr upright="1"/>
                      </wps:wsp>
                      <wps:wsp>
                        <wps:cNvPr id="5" name="文本框 8"/>
                        <wps:cNvSpPr txBox="1"/>
                        <wps:spPr>
                          <a:xfrm>
                            <a:off x="98437" y="590"/>
                            <a:ext cx="7969" cy="14783"/>
                          </a:xfrm>
                          <a:prstGeom prst="rect">
                            <a:avLst/>
                          </a:prstGeom>
                          <a:solidFill>
                            <a:srgbClr val="FFFFFF"/>
                          </a:solidFill>
                          <a:ln>
                            <a:noFill/>
                          </a:ln>
                        </wps:spPr>
                        <wps:txbx>
                          <w:txbxContent>
                            <w:p w14:paraId="311ABFA0">
                              <w:pPr>
                                <w:pStyle w:val="6"/>
                                <w:spacing w:before="0" w:beforeAutospacing="0" w:after="0" w:afterAutospacing="0"/>
                              </w:pPr>
                              <w:r>
                                <w:rPr>
                                  <w:rFonts w:hint="eastAsia" w:ascii="等线" w:hAnsi="等线" w:eastAsia="等线" w:cs="Times New Roman"/>
                                  <w:b/>
                                  <w:bCs/>
                                  <w:color w:val="000000"/>
                                  <w:kern w:val="24"/>
                                  <w:sz w:val="160"/>
                                  <w:szCs w:val="160"/>
                                </w:rPr>
                                <w:t>B</w:t>
                              </w:r>
                            </w:p>
                          </w:txbxContent>
                        </wps:txbx>
                        <wps:bodyPr upright="1"/>
                      </wps:wsp>
                      <wps:wsp>
                        <wps:cNvPr id="6" name="文本框 9"/>
                        <wps:cNvSpPr txBox="1"/>
                        <wps:spPr>
                          <a:xfrm>
                            <a:off x="195890" y="590"/>
                            <a:ext cx="8140" cy="14783"/>
                          </a:xfrm>
                          <a:prstGeom prst="rect">
                            <a:avLst/>
                          </a:prstGeom>
                          <a:solidFill>
                            <a:srgbClr val="FFFFFF"/>
                          </a:solidFill>
                          <a:ln>
                            <a:noFill/>
                          </a:ln>
                        </wps:spPr>
                        <wps:txbx>
                          <w:txbxContent>
                            <w:p w14:paraId="6C2BF1B2">
                              <w:pPr>
                                <w:pStyle w:val="6"/>
                                <w:spacing w:before="0" w:beforeAutospacing="0" w:after="0" w:afterAutospacing="0"/>
                              </w:pPr>
                              <w:r>
                                <w:rPr>
                                  <w:rFonts w:hint="eastAsia" w:ascii="等线" w:hAnsi="等线" w:eastAsia="等线" w:cs="Times New Roman"/>
                                  <w:b/>
                                  <w:bCs/>
                                  <w:color w:val="000000"/>
                                  <w:kern w:val="24"/>
                                  <w:sz w:val="160"/>
                                  <w:szCs w:val="160"/>
                                </w:rPr>
                                <w:t>C</w:t>
                              </w:r>
                            </w:p>
                          </w:txbxContent>
                        </wps:txbx>
                        <wps:bodyPr upright="1"/>
                      </wps:wsp>
                    </wpg:wgp>
                  </a:graphicData>
                </a:graphic>
              </wp:anchor>
            </w:drawing>
          </mc:Choice>
          <mc:Fallback>
            <w:pict>
              <v:group id="组合 13" o:spid="_x0000_s1026" o:spt="203" style="position:absolute;left:0pt;margin-left:718.55pt;margin-top:80.4pt;height:394pt;width:1583.9pt;z-index:251659264;mso-width-relative:page;mso-height-relative:page;" o:gfxdata="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">
                <o:lock v:ext="edit" aspectratio="f"/>
                <v:shape id="图片 2" o:spid="_x0000_s1026" o:spt="75" type="#_x0000_t75" style="position:absolute;left:0;top:0;height:72739;width:96985;" filled="f" o:preferrelative="t" stroked="f" coordsize="21600,21600" o:gfxdata="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Smi0bsAAADa&#10;AAAADwAAAAAAAAABACAAAAAiAAAAZHJzL2Rvd25yZXYueG1sUEsBAhQAFAAAAAgAh07iQDMvBZ47&#10;AAAAOQAAABAAAAAAAAAAAQAgAAAACgEAAGRycy9zaGFwZXhtbC54bWxQSwUGAAAAAAYABgBbAQAA&#10;tAMAAAAA&#10;">
                  <v:fill on="f" focussize="0,0"/>
                  <v:stroke on="f"/>
                  <v:imagedata r:id="rId4" o:title=""/>
                  <o:lock v:ext="edit" aspectratio="t"/>
                </v:shape>
                <v:shape id="图片 3" o:spid="_x0000_s1026" o:spt="75" type="#_x0000_t75" style="position:absolute;left:97712;top:0;height:72739;width:96985;" filled="f" o:preferrelative="t" stroked="f" coordsize="21600,21600" o:gfxdata="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EMqjLsAAADa&#10;AAAADwAAAAAAAAABACAAAAAiAAAAZHJzL2Rvd25yZXYueG1sUEsBAhQAFAAAAAgAh07iQDMvBZ47&#10;AAAAOQAAABAAAAAAAAAAAQAgAAAACgEAAGRycy9zaGFwZXhtbC54bWxQSwUGAAAAAAYABgBbAQAA&#10;tAMAAAAA&#10;">
                  <v:fill on="f" focussize="0,0"/>
                  <v:stroke on="f"/>
                  <v:imagedata r:id="rId5" o:title=""/>
                  <o:lock v:ext="edit" aspectratio="t"/>
                </v:shape>
                <v:shape id="图片 4" o:spid="_x0000_s1026" o:spt="75" type="#_x0000_t75" style="position:absolute;left:195424;top:0;height:72739;width:96985;" filled="f" o:preferrelative="t" stroked="f" coordsize="21600,21600" o:gfxdata="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NGs+7sAAADa&#10;AAAADwAAAAAAAAABACAAAAAiAAAAZHJzL2Rvd25yZXYueG1sUEsBAhQAFAAAAAgAh07iQDMvBZ47&#10;AAAAOQAAABAAAAAAAAAAAQAgAAAACgEAAGRycy9zaGFwZXhtbC54bWxQSwUGAAAAAAYABgBbAQAA&#10;tAMAAAAA&#10;">
                  <v:fill on="f" focussize="0,0"/>
                  <v:stroke on="f"/>
                  <v:imagedata r:id="rId6" o:title=""/>
                  <o:lock v:ext="edit" aspectratio="t"/>
                </v:shape>
                <v:shape id="文本框 7" o:spid="_x0000_s1026" o:spt="202" type="#_x0000_t202" style="position:absolute;left:590;top:590;height:14783;width:8655;" fillcolor="#FFFFFF" filled="t" stroked="f" coordsize="21600,21600" o:gfxdata="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AEvoEtwAAANoAAAAP&#10;AAAAAAAAAAEAIAAAACIAAABkcnMvZG93bnJldi54bWxQSwECFAAUAAAACACHTuJAMy8FnjsAAAA5&#10;AAAAEAAAAAAAAAABACAAAAAGAQAAZHJzL3NoYXBleG1sLnhtbFBLBQYAAAAABgAGAFsBAACwAwAA&#10;AAA=&#10;">
                  <v:fill on="t" focussize="0,0"/>
                  <v:stroke on="f"/>
                  <v:imagedata o:title=""/>
                  <o:lock v:ext="edit" aspectratio="f"/>
                  <v:textbox>
                    <w:txbxContent>
                      <w:p w14:paraId="5314DC0C">
                        <w:pPr>
                          <w:pStyle w:val="6"/>
                          <w:spacing w:before="0" w:beforeAutospacing="0" w:after="0" w:afterAutospacing="0"/>
                        </w:pPr>
                        <w:r>
                          <w:rPr>
                            <w:rFonts w:hint="eastAsia" w:ascii="等线" w:hAnsi="等线" w:eastAsia="等线" w:cs="Times New Roman"/>
                            <w:b/>
                            <w:bCs/>
                            <w:color w:val="000000"/>
                            <w:kern w:val="24"/>
                            <w:sz w:val="160"/>
                            <w:szCs w:val="160"/>
                          </w:rPr>
                          <w:t>A</w:t>
                        </w:r>
                      </w:p>
                    </w:txbxContent>
                  </v:textbox>
                </v:shape>
                <v:shape id="文本框 8" o:spid="_x0000_s1026" o:spt="202" type="#_x0000_t202" style="position:absolute;left:98437;top:590;height:14783;width:7969;" fillcolor="#FFFFFF" filled="t" stroked="f" coordsize="21600,21600" o:gfxdata="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vXl+ftwAAANoAAAAP&#10;AAAAAAAAAAEAIAAAACIAAABkcnMvZG93bnJldi54bWxQSwECFAAUAAAACACHTuJAMy8FnjsAAAA5&#10;AAAAEAAAAAAAAAABACAAAAAGAQAAZHJzL3NoYXBleG1sLnhtbFBLBQYAAAAABgAGAFsBAACwAwAA&#10;AAA=&#10;">
                  <v:fill on="t" focussize="0,0"/>
                  <v:stroke on="f"/>
                  <v:imagedata o:title=""/>
                  <o:lock v:ext="edit" aspectratio="f"/>
                  <v:textbox>
                    <w:txbxContent>
                      <w:p w14:paraId="311ABFA0">
                        <w:pPr>
                          <w:pStyle w:val="6"/>
                          <w:spacing w:before="0" w:beforeAutospacing="0" w:after="0" w:afterAutospacing="0"/>
                        </w:pPr>
                        <w:r>
                          <w:rPr>
                            <w:rFonts w:hint="eastAsia" w:ascii="等线" w:hAnsi="等线" w:eastAsia="等线" w:cs="Times New Roman"/>
                            <w:b/>
                            <w:bCs/>
                            <w:color w:val="000000"/>
                            <w:kern w:val="24"/>
                            <w:sz w:val="160"/>
                            <w:szCs w:val="160"/>
                          </w:rPr>
                          <w:t>B</w:t>
                        </w:r>
                      </w:p>
                    </w:txbxContent>
                  </v:textbox>
                </v:shape>
                <v:shape id="文本框 9" o:spid="_x0000_s1026" o:spt="202" type="#_x0000_t202" style="position:absolute;left:195890;top:590;height:14783;width:8140;" fillcolor="#FFFFFF" filled="t" stroked="f" coordsize="21600,21600" o:gfxdata="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4zB6LgAAADaAAAA&#10;DwAAAAAAAAABACAAAAAiAAAAZHJzL2Rvd25yZXYueG1sUEsBAhQAFAAAAAgAh07iQDMvBZ47AAAA&#10;OQAAABAAAAAAAAAAAQAgAAAABwEAAGRycy9zaGFwZXhtbC54bWxQSwUGAAAAAAYABgBbAQAAsQMA&#10;AAAA&#10;">
                  <v:fill on="t" focussize="0,0"/>
                  <v:stroke on="f"/>
                  <v:imagedata o:title=""/>
                  <o:lock v:ext="edit" aspectratio="f"/>
                  <v:textbox>
                    <w:txbxContent>
                      <w:p w14:paraId="6C2BF1B2">
                        <w:pPr>
                          <w:pStyle w:val="6"/>
                          <w:spacing w:before="0" w:beforeAutospacing="0" w:after="0" w:afterAutospacing="0"/>
                        </w:pPr>
                        <w:r>
                          <w:rPr>
                            <w:rFonts w:hint="eastAsia" w:ascii="等线" w:hAnsi="等线" w:eastAsia="等线" w:cs="Times New Roman"/>
                            <w:b/>
                            <w:bCs/>
                            <w:color w:val="000000"/>
                            <w:kern w:val="24"/>
                            <w:sz w:val="160"/>
                            <w:szCs w:val="160"/>
                          </w:rPr>
                          <w:t>C</w:t>
                        </w:r>
                      </w:p>
                    </w:txbxContent>
                  </v:textbox>
                </v:shape>
              </v:group>
            </w:pict>
          </mc:Fallback>
        </mc:AlternateContent>
      </w:r>
      <w:r>
        <w:rPr>
          <w:rFonts w:hint="eastAsia" w:ascii="仿宋_GB2312" w:eastAsia="仿宋_GB2312"/>
          <w:color w:val="000000" w:themeColor="text1"/>
          <w:sz w:val="32"/>
          <w:szCs w:val="32"/>
          <w14:textFill>
            <w14:solidFill>
              <w14:schemeClr w14:val="tx1"/>
            </w14:solidFill>
          </w14:textFill>
        </w:rPr>
        <w:t>本标准严格遵循《中华人民共和国食品安全法》及其实施条例、《</w:t>
      </w:r>
      <w:r>
        <w:rPr>
          <w:rFonts w:hint="eastAsia" w:ascii="仿宋_GB2312" w:eastAsia="仿宋_GB2312"/>
          <w:color w:val="000000" w:themeColor="text1"/>
          <w:sz w:val="32"/>
          <w:szCs w:val="32"/>
          <w:lang w:eastAsia="zh-CN"/>
          <w14:textFill>
            <w14:solidFill>
              <w14:schemeClr w14:val="tx1"/>
            </w14:solidFill>
          </w14:textFill>
        </w:rPr>
        <w:t>中华人民共和国</w:t>
      </w:r>
      <w:r>
        <w:rPr>
          <w:rFonts w:hint="eastAsia" w:ascii="仿宋_GB2312" w:eastAsia="仿宋_GB2312"/>
          <w:color w:val="000000" w:themeColor="text1"/>
          <w:sz w:val="32"/>
          <w:szCs w:val="32"/>
          <w14:textFill>
            <w14:solidFill>
              <w14:schemeClr w14:val="tx1"/>
            </w14:solidFill>
          </w14:textFill>
        </w:rPr>
        <w:t>标准化法》及其实施条例、《食品安全地方标准制定及备案指南》(国卫办食品函〔2014〕825号)、《国家标准制修订经费管理办法》（财行</w:t>
      </w:r>
      <w:r>
        <w:rPr>
          <w:rFonts w:hint="eastAsia" w:ascii="仿宋_GB2312" w:eastAsia="仿宋_GB2312"/>
          <w:color w:val="000000" w:themeColor="text1"/>
          <w:sz w:val="32"/>
          <w:szCs w:val="32"/>
          <w:lang w:eastAsia="zh-CN"/>
          <w14:textFill>
            <w14:solidFill>
              <w14:schemeClr w14:val="tx1"/>
            </w14:solidFill>
          </w14:textFill>
        </w:rPr>
        <w:t>〔2007〕29号</w:t>
      </w:r>
      <w:r>
        <w:rPr>
          <w:rFonts w:hint="eastAsia" w:ascii="仿宋_GB2312" w:eastAsia="仿宋_GB2312"/>
          <w:color w:val="000000" w:themeColor="text1"/>
          <w:sz w:val="32"/>
          <w:szCs w:val="32"/>
          <w14:textFill>
            <w14:solidFill>
              <w14:schemeClr w14:val="tx1"/>
            </w14:solidFill>
          </w14:textFill>
        </w:rPr>
        <w:t>）、《食品安全国家标准制（修）订项目管理办法》（卫政法发</w:t>
      </w:r>
      <w:r>
        <w:rPr>
          <w:rFonts w:hint="eastAsia" w:ascii="仿宋_GB2312" w:eastAsia="仿宋_GB2312"/>
          <w:color w:val="000000" w:themeColor="text1"/>
          <w:sz w:val="32"/>
          <w:szCs w:val="32"/>
          <w:lang w:eastAsia="zh-CN"/>
          <w14:textFill>
            <w14:solidFill>
              <w14:schemeClr w14:val="tx1"/>
            </w14:solidFill>
          </w14:textFill>
        </w:rPr>
        <w:t>〔2010〕81号</w:t>
      </w:r>
      <w:r>
        <w:rPr>
          <w:rFonts w:hint="eastAsia" w:ascii="仿宋_GB2312" w:eastAsia="仿宋_GB2312"/>
          <w:color w:val="000000" w:themeColor="text1"/>
          <w:sz w:val="32"/>
          <w:szCs w:val="32"/>
          <w14:textFill>
            <w14:solidFill>
              <w14:schemeClr w14:val="tx1"/>
            </w14:solidFill>
          </w14:textFill>
        </w:rPr>
        <w:t>）等我国有关法律法规、部门规章和文件的规定和要求。</w:t>
      </w:r>
    </w:p>
    <w:p w14:paraId="34990D0C">
      <w:pPr>
        <w:ind w:firstLine="643" w:firstLineChars="201"/>
        <w:rPr>
          <w:rFonts w:ascii="仿宋_GB2312" w:eastAsia="仿宋_GB2312"/>
          <w:color w:val="000000" w:themeColor="text1"/>
          <w:sz w:val="32"/>
          <w:szCs w:val="32"/>
          <w14:textFill>
            <w14:solidFill>
              <w14:schemeClr w14:val="tx1"/>
            </w14:solidFill>
          </w14:textFill>
        </w:rPr>
      </w:pPr>
      <w:r>
        <w:rPr>
          <w:rStyle w:val="17"/>
          <w:rFonts w:hint="default" w:ascii="仿宋_GB2312" w:eastAsia="仿宋_GB2312" w:hAnsiTheme="minorEastAsia"/>
          <w:color w:val="000000" w:themeColor="text1"/>
          <w:sz w:val="32"/>
          <w:szCs w:val="32"/>
          <w14:textFill>
            <w14:solidFill>
              <w14:schemeClr w14:val="tx1"/>
            </w14:solidFill>
          </w14:textFill>
        </w:rPr>
        <w:t>标准制定过程中主要参考了</w:t>
      </w:r>
      <w:r>
        <w:rPr>
          <w:rStyle w:val="17"/>
          <w:rFonts w:hint="default" w:ascii="仿宋_GB2312" w:hAnsi="仿宋" w:eastAsia="仿宋_GB2312"/>
          <w:color w:val="000000" w:themeColor="text1"/>
          <w:sz w:val="32"/>
          <w:szCs w:val="32"/>
          <w14:textFill>
            <w14:solidFill>
              <w14:schemeClr w14:val="tx1"/>
            </w14:solidFill>
          </w14:textFill>
        </w:rPr>
        <w:t>《市场监管总局关于规范食品快速检测使用的意见》（国市监食检规〔2023〕1号）</w:t>
      </w:r>
      <w:r>
        <w:rPr>
          <w:rStyle w:val="17"/>
          <w:rFonts w:hint="eastAsia" w:ascii="仿宋_GB2312" w:hAnsi="仿宋" w:eastAsia="仿宋_GB2312"/>
          <w:color w:val="000000" w:themeColor="text1"/>
          <w:sz w:val="32"/>
          <w:szCs w:val="32"/>
          <w:lang w:eastAsia="zh-CN"/>
          <w14:textFill>
            <w14:solidFill>
              <w14:schemeClr w14:val="tx1"/>
            </w14:solidFill>
          </w14:textFill>
        </w:rPr>
        <w:t>“食品快速检测产品符合性评价程序”</w:t>
      </w:r>
      <w:r>
        <w:rPr>
          <w:rStyle w:val="17"/>
          <w:rFonts w:hint="default" w:ascii="仿宋_GB2312" w:eastAsia="仿宋_GB2312" w:hAnsiTheme="minorEastAsia"/>
          <w:color w:val="000000" w:themeColor="text1"/>
          <w:sz w:val="32"/>
          <w:szCs w:val="32"/>
          <w14:textFill>
            <w14:solidFill>
              <w14:schemeClr w14:val="tx1"/>
            </w14:solidFill>
          </w14:textFill>
        </w:rPr>
        <w:t>。同时，为了进一步细化和明确相关评价指标和操作细节，促进我省科学、规范地开展快检产品评价工作。</w:t>
      </w:r>
      <w:r>
        <w:rPr>
          <w:rFonts w:hint="eastAsia" w:ascii="仿宋_GB2312" w:eastAsia="仿宋_GB2312"/>
          <w:color w:val="000000" w:themeColor="text1"/>
          <w:sz w:val="32"/>
          <w:szCs w:val="32"/>
          <w14:textFill>
            <w14:solidFill>
              <w14:schemeClr w14:val="tx1"/>
            </w14:solidFill>
          </w14:textFill>
        </w:rPr>
        <w:t>本标准制定过程中还参考了以下标准或法规等：</w:t>
      </w:r>
    </w:p>
    <w:p w14:paraId="47E97281">
      <w:pPr>
        <w:pStyle w:val="13"/>
        <w:ind w:firstLine="640"/>
        <w:rPr>
          <w:rFonts w:ascii="仿宋_GB2312" w:eastAsia="仿宋_GB2312"/>
          <w:color w:val="000000" w:themeColor="text1"/>
          <w:kern w:val="2"/>
          <w:sz w:val="32"/>
          <w:szCs w:val="32"/>
          <w14:textFill>
            <w14:solidFill>
              <w14:schemeClr w14:val="tx1"/>
            </w14:solidFill>
          </w14:textFill>
        </w:rPr>
      </w:pPr>
      <w:r>
        <w:rPr>
          <w:rFonts w:hint="eastAsia" w:ascii="仿宋_GB2312" w:eastAsia="仿宋_GB2312"/>
          <w:color w:val="000000" w:themeColor="text1"/>
          <w:kern w:val="2"/>
          <w:sz w:val="32"/>
          <w:szCs w:val="32"/>
          <w14:textFill>
            <w14:solidFill>
              <w14:schemeClr w14:val="tx1"/>
            </w14:solidFill>
          </w14:textFill>
        </w:rPr>
        <w:t>《检验检测机构资质认定评审准则》</w:t>
      </w:r>
    </w:p>
    <w:p w14:paraId="0D0C0341">
      <w:pPr>
        <w:ind w:firstLine="640" w:firstLineChars="200"/>
        <w:rPr>
          <w:rStyle w:val="17"/>
          <w:rFonts w:hint="default" w:ascii="仿宋_GB2312" w:eastAsia="仿宋_GB2312" w:hAnsiTheme="minorEastAsia"/>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SN/T 2775-20</w:t>
      </w:r>
      <w:r>
        <w:rPr>
          <w:rFonts w:hint="eastAsia" w:ascii="仿宋_GB2312" w:eastAsia="仿宋_GB2312"/>
          <w:color w:val="000000" w:themeColor="text1"/>
          <w:sz w:val="32"/>
          <w:szCs w:val="32"/>
          <w:lang w:val="en-US" w:eastAsia="zh-CN"/>
          <w14:textFill>
            <w14:solidFill>
              <w14:schemeClr w14:val="tx1"/>
            </w14:solidFill>
          </w14:textFill>
        </w:rPr>
        <w:t>23</w:t>
      </w:r>
      <w:r>
        <w:rPr>
          <w:rFonts w:hint="eastAsia" w:ascii="仿宋_GB2312" w:eastAsia="仿宋_GB2312"/>
          <w:color w:val="000000" w:themeColor="text1"/>
          <w:sz w:val="32"/>
          <w:szCs w:val="32"/>
          <w14:textFill>
            <w14:solidFill>
              <w14:schemeClr w14:val="tx1"/>
            </w14:solidFill>
          </w14:textFill>
        </w:rPr>
        <w:t>《商品化食品检测试剂盒评价方法》</w:t>
      </w:r>
    </w:p>
    <w:p w14:paraId="60560B3E">
      <w:pPr>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CNAS-CL01-2018《检测和校准实验室能力认可准则》</w:t>
      </w:r>
    </w:p>
    <w:p w14:paraId="12CCDE61">
      <w:pPr>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GB/T 27025-2019《检测和校准试验能力通用要求》</w:t>
      </w:r>
    </w:p>
    <w:p w14:paraId="12C5B855">
      <w:pPr>
        <w:rPr>
          <w:rFonts w:ascii="楷体_GB2312" w:eastAsia="楷体_GB2312"/>
          <w:color w:val="000000" w:themeColor="text1"/>
          <w:sz w:val="32"/>
          <w:szCs w:val="32"/>
          <w14:textFill>
            <w14:solidFill>
              <w14:schemeClr w14:val="tx1"/>
            </w14:solidFill>
          </w14:textFill>
        </w:rPr>
      </w:pPr>
      <w:r>
        <w:rPr>
          <w:rFonts w:hint="eastAsia" w:ascii="楷体_GB2312" w:eastAsia="楷体_GB2312"/>
          <w:color w:val="000000" w:themeColor="text1"/>
          <w:sz w:val="32"/>
          <w:szCs w:val="32"/>
          <w14:textFill>
            <w14:solidFill>
              <w14:schemeClr w14:val="tx1"/>
            </w14:solidFill>
          </w14:textFill>
        </w:rPr>
        <w:t>（二）国外有关法律、法规和标准情况说明</w:t>
      </w:r>
    </w:p>
    <w:p w14:paraId="43E99965">
      <w:pPr>
        <w:ind w:firstLine="640" w:firstLineChars="200"/>
        <w:rPr>
          <w:rFonts w:ascii="仿宋_GB2312" w:eastAsia="仿宋_GB2312"/>
          <w:color w:val="000000" w:themeColor="text1"/>
          <w:sz w:val="32"/>
          <w:szCs w:val="32"/>
          <w14:textFill>
            <w14:solidFill>
              <w14:schemeClr w14:val="tx1"/>
            </w14:solidFill>
          </w14:textFill>
        </w:rPr>
      </w:pPr>
      <w:r>
        <w:rPr>
          <w:rStyle w:val="17"/>
          <w:rFonts w:hint="default" w:ascii="仿宋_GB2312" w:eastAsia="仿宋_GB2312"/>
          <w:color w:val="000000" w:themeColor="text1"/>
          <w:sz w:val="32"/>
          <w:szCs w:val="32"/>
          <w14:textFill>
            <w14:solidFill>
              <w14:schemeClr w14:val="tx1"/>
            </w14:solidFill>
          </w14:textFill>
        </w:rPr>
        <w:t>国际上已有较多的快检产品评价标准或法规，诸如</w:t>
      </w:r>
      <w:r>
        <w:rPr>
          <w:rStyle w:val="19"/>
          <w:rFonts w:hint="eastAsia" w:ascii="仿宋_GB2312" w:eastAsia="仿宋_GB2312"/>
          <w:i w:val="0"/>
          <w:color w:val="000000" w:themeColor="text1"/>
          <w:sz w:val="32"/>
          <w:szCs w:val="32"/>
          <w14:textFill>
            <w14:solidFill>
              <w14:schemeClr w14:val="tx1"/>
            </w14:solidFill>
          </w14:textFill>
        </w:rPr>
        <w:t>Microbiology of Food and Animal Feeding Stuffs. Protocol for the</w:t>
      </w:r>
      <w:r>
        <w:rPr>
          <w:rFonts w:hint="eastAsia" w:ascii="仿宋_GB2312" w:hAnsi="TimesNewRomanPS-ItalicMT" w:eastAsia="仿宋_GB2312"/>
          <w:i/>
          <w:iCs/>
          <w:color w:val="000000" w:themeColor="text1"/>
          <w:sz w:val="32"/>
          <w:szCs w:val="32"/>
          <w14:textFill>
            <w14:solidFill>
              <w14:schemeClr w14:val="tx1"/>
            </w14:solidFill>
          </w14:textFill>
        </w:rPr>
        <w:t xml:space="preserve"> </w:t>
      </w:r>
      <w:r>
        <w:rPr>
          <w:rStyle w:val="19"/>
          <w:rFonts w:hint="eastAsia" w:ascii="仿宋_GB2312" w:eastAsia="仿宋_GB2312"/>
          <w:i w:val="0"/>
          <w:color w:val="000000" w:themeColor="text1"/>
          <w:sz w:val="32"/>
          <w:szCs w:val="32"/>
          <w14:textFill>
            <w14:solidFill>
              <w14:schemeClr w14:val="tx1"/>
            </w14:solidFill>
          </w14:textFill>
        </w:rPr>
        <w:t>Validation of Alternative Methods</w:t>
      </w:r>
      <w:r>
        <w:rPr>
          <w:rStyle w:val="17"/>
          <w:rFonts w:hint="default" w:ascii="仿宋_GB2312" w:eastAsia="仿宋_GB2312"/>
          <w:color w:val="000000" w:themeColor="text1"/>
          <w:sz w:val="32"/>
          <w:szCs w:val="32"/>
          <w14:textFill>
            <w14:solidFill>
              <w14:schemeClr w14:val="tx1"/>
            </w14:solidFill>
          </w14:textFill>
        </w:rPr>
        <w:t>（</w:t>
      </w:r>
      <w:r>
        <w:rPr>
          <w:rStyle w:val="18"/>
          <w:rFonts w:hint="eastAsia" w:ascii="仿宋_GB2312" w:eastAsia="仿宋_GB2312"/>
          <w:color w:val="000000" w:themeColor="text1"/>
          <w:sz w:val="32"/>
          <w:szCs w:val="32"/>
          <w14:textFill>
            <w14:solidFill>
              <w14:schemeClr w14:val="tx1"/>
            </w14:solidFill>
          </w14:textFill>
        </w:rPr>
        <w:t>ISO 16140:2003</w:t>
      </w:r>
      <w:r>
        <w:rPr>
          <w:rStyle w:val="17"/>
          <w:rFonts w:hint="default" w:ascii="仿宋_GB2312" w:eastAsia="仿宋_GB2312"/>
          <w:color w:val="000000" w:themeColor="text1"/>
          <w:sz w:val="32"/>
          <w:szCs w:val="32"/>
          <w14:textFill>
            <w14:solidFill>
              <w14:schemeClr w14:val="tx1"/>
            </w14:solidFill>
          </w14:textFill>
        </w:rPr>
        <w:t>）</w:t>
      </w:r>
      <w:r>
        <w:rPr>
          <w:rFonts w:hint="eastAsia" w:ascii="仿宋_GB2312" w:hAnsi="宋体" w:eastAsia="仿宋_GB2312"/>
          <w:color w:val="000000" w:themeColor="text1"/>
          <w:sz w:val="32"/>
          <w:szCs w:val="32"/>
          <w14:textFill>
            <w14:solidFill>
              <w14:schemeClr w14:val="tx1"/>
            </w14:solidFill>
          </w14:textFill>
        </w:rPr>
        <w:t>提出了快检方法评价的通用原则和技术协议，具有广泛的借鉴意义，但评价过程相对复杂。</w:t>
      </w:r>
      <w:r>
        <w:rPr>
          <w:rFonts w:hint="eastAsia" w:ascii="仿宋_GB2312" w:hAnsi="TimesNewRomanPS-ItalicMT" w:eastAsia="仿宋_GB2312"/>
          <w:iCs/>
          <w:color w:val="000000" w:themeColor="text1"/>
          <w:sz w:val="32"/>
          <w:szCs w:val="32"/>
          <w14:textFill>
            <w14:solidFill>
              <w14:schemeClr w14:val="tx1"/>
            </w14:solidFill>
          </w14:textFill>
        </w:rPr>
        <w:t>AOAC 出台了针对试剂盒的评价指南。</w:t>
      </w:r>
      <w:r>
        <w:rPr>
          <w:rFonts w:hint="eastAsia" w:ascii="仿宋_GB2312" w:hAnsi="TimesNewRomanPSMT" w:eastAsia="仿宋_GB2312"/>
          <w:color w:val="000000" w:themeColor="text1"/>
          <w:sz w:val="32"/>
          <w:szCs w:val="32"/>
          <w14:textFill>
            <w14:solidFill>
              <w14:schemeClr w14:val="tx1"/>
            </w14:solidFill>
          </w14:textFill>
        </w:rPr>
        <w:t>该指南</w:t>
      </w:r>
      <w:r>
        <w:rPr>
          <w:rFonts w:hint="eastAsia" w:ascii="仿宋_GB2312" w:hAnsi="宋体" w:eastAsia="仿宋_GB2312"/>
          <w:color w:val="000000" w:themeColor="text1"/>
          <w:sz w:val="32"/>
          <w:szCs w:val="32"/>
          <w14:textFill>
            <w14:solidFill>
              <w14:schemeClr w14:val="tx1"/>
            </w14:solidFill>
          </w14:textFill>
        </w:rPr>
        <w:t>主要突出了对快检方法重复性和重现性的评价，注重评价结果对应用的指导等。虽然国外相关标准或法规对快检产品评价的侧重点各不相同，但评价方法的实用性和便捷性是该类标准制修订</w:t>
      </w:r>
      <w:r>
        <w:rPr>
          <w:rFonts w:hint="eastAsia" w:ascii="仿宋_GB2312" w:hAnsi="宋体" w:eastAsia="仿宋_GB2312"/>
          <w:color w:val="000000" w:themeColor="text1"/>
          <w:sz w:val="32"/>
          <w:szCs w:val="32"/>
          <w:lang w:eastAsia="zh-CN"/>
          <w14:textFill>
            <w14:solidFill>
              <w14:schemeClr w14:val="tx1"/>
            </w14:solidFill>
          </w14:textFill>
        </w:rPr>
        <w:t>的</w:t>
      </w:r>
      <w:r>
        <w:rPr>
          <w:rFonts w:hint="eastAsia" w:ascii="仿宋_GB2312" w:hAnsi="宋体" w:eastAsia="仿宋_GB2312"/>
          <w:color w:val="000000" w:themeColor="text1"/>
          <w:sz w:val="32"/>
          <w:szCs w:val="32"/>
          <w14:textFill>
            <w14:solidFill>
              <w14:schemeClr w14:val="tx1"/>
            </w14:solidFill>
          </w14:textFill>
        </w:rPr>
        <w:t>重要趋势之一。</w:t>
      </w:r>
    </w:p>
    <w:p w14:paraId="3DA5C105">
      <w:pPr>
        <w:rPr>
          <w:rFonts w:ascii="黑体" w:hAnsi="黑体" w:eastAsia="黑体"/>
          <w:color w:val="000000" w:themeColor="text1"/>
          <w:sz w:val="32"/>
          <w:szCs w:val="32"/>
          <w:highlight w:val="none"/>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五、主要条款</w:t>
      </w:r>
      <w:r>
        <w:rPr>
          <w:rFonts w:hint="eastAsia" w:ascii="黑体" w:hAnsi="黑体" w:eastAsia="黑体"/>
          <w:color w:val="000000" w:themeColor="text1"/>
          <w:sz w:val="32"/>
          <w:szCs w:val="32"/>
          <w:highlight w:val="none"/>
          <w14:textFill>
            <w14:solidFill>
              <w14:schemeClr w14:val="tx1"/>
            </w14:solidFill>
          </w14:textFill>
        </w:rPr>
        <w:t>的说明</w:t>
      </w:r>
    </w:p>
    <w:p w14:paraId="1F14A296">
      <w:pPr>
        <w:ind w:firstLine="640" w:firstLineChars="200"/>
        <w:rPr>
          <w:rStyle w:val="17"/>
          <w:rFonts w:hint="default" w:ascii="仿宋_GB2312" w:eastAsia="仿宋_GB2312"/>
          <w:color w:val="000000" w:themeColor="text1"/>
          <w:sz w:val="32"/>
          <w:szCs w:val="32"/>
          <w:highlight w:val="none"/>
          <w14:textFill>
            <w14:solidFill>
              <w14:schemeClr w14:val="tx1"/>
            </w14:solidFill>
          </w14:textFill>
        </w:rPr>
      </w:pPr>
      <w:r>
        <w:rPr>
          <w:rStyle w:val="17"/>
          <w:rFonts w:hint="default" w:ascii="仿宋_GB2312" w:eastAsia="仿宋_GB2312"/>
          <w:color w:val="000000" w:themeColor="text1"/>
          <w:sz w:val="32"/>
          <w:szCs w:val="32"/>
          <w:highlight w:val="none"/>
          <w14:textFill>
            <w14:solidFill>
              <w14:schemeClr w14:val="tx1"/>
            </w14:solidFill>
          </w14:textFill>
        </w:rPr>
        <w:t>本标准</w:t>
      </w:r>
      <w:r>
        <w:rPr>
          <w:rStyle w:val="17"/>
          <w:rFonts w:hint="eastAsia" w:ascii="仿宋_GB2312" w:eastAsia="仿宋_GB2312"/>
          <w:color w:val="000000" w:themeColor="text1"/>
          <w:sz w:val="32"/>
          <w:szCs w:val="32"/>
          <w:highlight w:val="none"/>
          <w:lang w:eastAsia="zh-CN"/>
          <w14:textFill>
            <w14:solidFill>
              <w14:schemeClr w14:val="tx1"/>
            </w14:solidFill>
          </w14:textFill>
        </w:rPr>
        <w:t>对</w:t>
      </w:r>
      <w:r>
        <w:rPr>
          <w:rStyle w:val="17"/>
          <w:rFonts w:hint="default" w:ascii="仿宋_GB2312" w:eastAsia="仿宋_GB2312"/>
          <w:color w:val="000000" w:themeColor="text1"/>
          <w:sz w:val="32"/>
          <w:szCs w:val="32"/>
          <w:highlight w:val="none"/>
          <w14:textFill>
            <w14:solidFill>
              <w14:schemeClr w14:val="tx1"/>
            </w14:solidFill>
          </w14:textFill>
        </w:rPr>
        <w:t>DB 36/T 1334-2020</w:t>
      </w:r>
      <w:r>
        <w:rPr>
          <w:rStyle w:val="17"/>
          <w:rFonts w:hint="eastAsia" w:ascii="仿宋_GB2312" w:eastAsia="仿宋_GB2312"/>
          <w:color w:val="000000" w:themeColor="text1"/>
          <w:sz w:val="32"/>
          <w:szCs w:val="32"/>
          <w:highlight w:val="none"/>
          <w:lang w:eastAsia="zh-CN"/>
          <w14:textFill>
            <w14:solidFill>
              <w14:schemeClr w14:val="tx1"/>
            </w14:solidFill>
          </w14:textFill>
        </w:rPr>
        <w:t>进行修订，</w:t>
      </w:r>
      <w:r>
        <w:rPr>
          <w:rStyle w:val="17"/>
          <w:rFonts w:hint="default" w:ascii="仿宋_GB2312" w:eastAsia="仿宋_GB2312"/>
          <w:color w:val="000000" w:themeColor="text1"/>
          <w:sz w:val="32"/>
          <w:szCs w:val="32"/>
          <w:highlight w:val="none"/>
          <w14:textFill>
            <w14:solidFill>
              <w14:schemeClr w14:val="tx1"/>
            </w14:solidFill>
          </w14:textFill>
        </w:rPr>
        <w:t>主要变化如下：</w:t>
      </w:r>
    </w:p>
    <w:p w14:paraId="49D8B8B2">
      <w:pPr>
        <w:ind w:firstLine="640" w:firstLineChars="200"/>
        <w:rPr>
          <w:rStyle w:val="17"/>
          <w:rFonts w:hint="default" w:ascii="仿宋_GB2312" w:eastAsia="仿宋_GB2312"/>
          <w:color w:val="000000" w:themeColor="text1"/>
          <w:sz w:val="32"/>
          <w:szCs w:val="32"/>
          <w:highlight w:val="none"/>
          <w14:textFill>
            <w14:solidFill>
              <w14:schemeClr w14:val="tx1"/>
            </w14:solidFill>
          </w14:textFill>
        </w:rPr>
      </w:pPr>
      <w:r>
        <w:rPr>
          <w:rStyle w:val="17"/>
          <w:rFonts w:hint="eastAsia" w:ascii="仿宋_GB2312" w:eastAsia="仿宋_GB2312"/>
          <w:color w:val="000000" w:themeColor="text1"/>
          <w:sz w:val="32"/>
          <w:szCs w:val="32"/>
          <w:highlight w:val="none"/>
          <w:lang w:eastAsia="zh-CN"/>
          <w14:textFill>
            <w14:solidFill>
              <w14:schemeClr w14:val="tx1"/>
            </w14:solidFill>
          </w14:textFill>
        </w:rPr>
        <w:t>（</w:t>
      </w:r>
      <w:r>
        <w:rPr>
          <w:rStyle w:val="17"/>
          <w:rFonts w:hint="eastAsia" w:ascii="仿宋_GB2312" w:eastAsia="仿宋_GB2312"/>
          <w:color w:val="000000" w:themeColor="text1"/>
          <w:sz w:val="32"/>
          <w:szCs w:val="32"/>
          <w:highlight w:val="none"/>
          <w:lang w:val="en-US" w:eastAsia="zh-CN"/>
          <w14:textFill>
            <w14:solidFill>
              <w14:schemeClr w14:val="tx1"/>
            </w14:solidFill>
          </w14:textFill>
        </w:rPr>
        <w:t>1</w:t>
      </w:r>
      <w:r>
        <w:rPr>
          <w:rStyle w:val="17"/>
          <w:rFonts w:hint="eastAsia" w:ascii="仿宋_GB2312" w:eastAsia="仿宋_GB2312"/>
          <w:color w:val="000000" w:themeColor="text1"/>
          <w:sz w:val="32"/>
          <w:szCs w:val="32"/>
          <w:highlight w:val="none"/>
          <w:lang w:eastAsia="zh-CN"/>
          <w14:textFill>
            <w14:solidFill>
              <w14:schemeClr w14:val="tx1"/>
            </w14:solidFill>
          </w14:textFill>
        </w:rPr>
        <w:t>）</w:t>
      </w:r>
      <w:r>
        <w:rPr>
          <w:rStyle w:val="17"/>
          <w:rFonts w:hint="default" w:ascii="仿宋_GB2312" w:eastAsia="仿宋_GB2312"/>
          <w:color w:val="000000" w:themeColor="text1"/>
          <w:sz w:val="32"/>
          <w:szCs w:val="32"/>
          <w:highlight w:val="none"/>
          <w14:textFill>
            <w14:solidFill>
              <w14:schemeClr w14:val="tx1"/>
            </w14:solidFill>
          </w14:textFill>
        </w:rPr>
        <w:t>增加了“评价机构要求</w:t>
      </w:r>
      <w:r>
        <w:rPr>
          <w:rStyle w:val="17"/>
          <w:rFonts w:hint="eastAsia" w:ascii="仿宋_GB2312" w:eastAsia="仿宋_GB2312"/>
          <w:color w:val="000000" w:themeColor="text1"/>
          <w:sz w:val="32"/>
          <w:szCs w:val="32"/>
          <w:highlight w:val="none"/>
          <w:lang w:eastAsia="zh-CN"/>
          <w14:textFill>
            <w14:solidFill>
              <w14:schemeClr w14:val="tx1"/>
            </w14:solidFill>
          </w14:textFill>
        </w:rPr>
        <w:t>”“</w:t>
      </w:r>
      <w:r>
        <w:rPr>
          <w:rStyle w:val="17"/>
          <w:rFonts w:hint="default" w:ascii="仿宋_GB2312" w:eastAsia="仿宋_GB2312"/>
          <w:color w:val="000000" w:themeColor="text1"/>
          <w:sz w:val="32"/>
          <w:szCs w:val="32"/>
          <w:highlight w:val="none"/>
          <w14:textFill>
            <w14:solidFill>
              <w14:schemeClr w14:val="tx1"/>
            </w14:solidFill>
          </w14:textFill>
        </w:rPr>
        <w:t>评价受理要求、“评价工作要求”;</w:t>
      </w:r>
    </w:p>
    <w:p w14:paraId="038F75A1">
      <w:pPr>
        <w:ind w:firstLine="640" w:firstLineChars="200"/>
        <w:rPr>
          <w:rStyle w:val="17"/>
          <w:rFonts w:hint="default" w:ascii="仿宋_GB2312" w:eastAsia="仿宋_GB2312"/>
          <w:color w:val="000000" w:themeColor="text1"/>
          <w:sz w:val="32"/>
          <w:szCs w:val="32"/>
          <w:highlight w:val="none"/>
          <w14:textFill>
            <w14:solidFill>
              <w14:schemeClr w14:val="tx1"/>
            </w14:solidFill>
          </w14:textFill>
        </w:rPr>
      </w:pPr>
      <w:r>
        <w:rPr>
          <w:rStyle w:val="17"/>
          <w:rFonts w:hint="eastAsia" w:ascii="仿宋_GB2312" w:eastAsia="仿宋_GB2312"/>
          <w:color w:val="000000" w:themeColor="text1"/>
          <w:sz w:val="32"/>
          <w:szCs w:val="32"/>
          <w:highlight w:val="none"/>
          <w:lang w:eastAsia="zh-CN"/>
          <w14:textFill>
            <w14:solidFill>
              <w14:schemeClr w14:val="tx1"/>
            </w14:solidFill>
          </w14:textFill>
        </w:rPr>
        <w:t>（</w:t>
      </w:r>
      <w:r>
        <w:rPr>
          <w:rStyle w:val="17"/>
          <w:rFonts w:hint="eastAsia" w:ascii="仿宋_GB2312" w:eastAsia="仿宋_GB2312"/>
          <w:color w:val="000000" w:themeColor="text1"/>
          <w:sz w:val="32"/>
          <w:szCs w:val="32"/>
          <w:highlight w:val="none"/>
          <w:lang w:val="en-US" w:eastAsia="zh-CN"/>
          <w14:textFill>
            <w14:solidFill>
              <w14:schemeClr w14:val="tx1"/>
            </w14:solidFill>
          </w14:textFill>
        </w:rPr>
        <w:t>2</w:t>
      </w:r>
      <w:r>
        <w:rPr>
          <w:rStyle w:val="17"/>
          <w:rFonts w:hint="eastAsia" w:ascii="仿宋_GB2312" w:eastAsia="仿宋_GB2312"/>
          <w:color w:val="000000" w:themeColor="text1"/>
          <w:sz w:val="32"/>
          <w:szCs w:val="32"/>
          <w:highlight w:val="none"/>
          <w:lang w:eastAsia="zh-CN"/>
          <w14:textFill>
            <w14:solidFill>
              <w14:schemeClr w14:val="tx1"/>
            </w14:solidFill>
          </w14:textFill>
        </w:rPr>
        <w:t>）</w:t>
      </w:r>
      <w:r>
        <w:rPr>
          <w:rStyle w:val="17"/>
          <w:rFonts w:hint="default" w:ascii="仿宋_GB2312" w:eastAsia="仿宋_GB2312"/>
          <w:color w:val="000000" w:themeColor="text1"/>
          <w:sz w:val="32"/>
          <w:szCs w:val="32"/>
          <w:highlight w:val="none"/>
          <w14:textFill>
            <w14:solidFill>
              <w14:schemeClr w14:val="tx1"/>
            </w14:solidFill>
          </w14:textFill>
        </w:rPr>
        <w:t>修改了“规范性引用文件</w:t>
      </w:r>
      <w:r>
        <w:rPr>
          <w:rStyle w:val="17"/>
          <w:rFonts w:hint="eastAsia" w:ascii="仿宋_GB2312" w:eastAsia="仿宋_GB2312"/>
          <w:color w:val="000000" w:themeColor="text1"/>
          <w:sz w:val="32"/>
          <w:szCs w:val="32"/>
          <w:highlight w:val="none"/>
          <w:lang w:eastAsia="zh-CN"/>
          <w14:textFill>
            <w14:solidFill>
              <w14:schemeClr w14:val="tx1"/>
            </w14:solidFill>
          </w14:textFill>
        </w:rPr>
        <w:t>”“</w:t>
      </w:r>
      <w:r>
        <w:rPr>
          <w:rStyle w:val="17"/>
          <w:rFonts w:hint="default" w:ascii="仿宋_GB2312" w:eastAsia="仿宋_GB2312"/>
          <w:color w:val="000000" w:themeColor="text1"/>
          <w:sz w:val="32"/>
          <w:szCs w:val="32"/>
          <w:highlight w:val="none"/>
          <w14:textFill>
            <w14:solidFill>
              <w14:schemeClr w14:val="tx1"/>
            </w14:solidFill>
          </w14:textFill>
        </w:rPr>
        <w:t>术语和定义</w:t>
      </w:r>
      <w:r>
        <w:rPr>
          <w:rStyle w:val="17"/>
          <w:rFonts w:hint="eastAsia" w:ascii="仿宋_GB2312" w:eastAsia="仿宋_GB2312"/>
          <w:color w:val="000000" w:themeColor="text1"/>
          <w:sz w:val="32"/>
          <w:szCs w:val="32"/>
          <w:highlight w:val="none"/>
          <w:lang w:eastAsia="zh-CN"/>
          <w14:textFill>
            <w14:solidFill>
              <w14:schemeClr w14:val="tx1"/>
            </w14:solidFill>
          </w14:textFill>
        </w:rPr>
        <w:t>”“</w:t>
      </w:r>
      <w:r>
        <w:rPr>
          <w:rStyle w:val="17"/>
          <w:rFonts w:hint="default" w:ascii="仿宋_GB2312" w:eastAsia="仿宋_GB2312"/>
          <w:color w:val="000000" w:themeColor="text1"/>
          <w:sz w:val="32"/>
          <w:szCs w:val="32"/>
          <w:highlight w:val="none"/>
          <w14:textFill>
            <w14:solidFill>
              <w14:schemeClr w14:val="tx1"/>
            </w14:solidFill>
          </w14:textFill>
        </w:rPr>
        <w:t>一般指标</w:t>
      </w:r>
      <w:r>
        <w:rPr>
          <w:rStyle w:val="17"/>
          <w:rFonts w:hint="eastAsia" w:ascii="仿宋_GB2312" w:eastAsia="仿宋_GB2312"/>
          <w:color w:val="000000" w:themeColor="text1"/>
          <w:sz w:val="32"/>
          <w:szCs w:val="32"/>
          <w:highlight w:val="none"/>
          <w:lang w:eastAsia="zh-CN"/>
          <w14:textFill>
            <w14:solidFill>
              <w14:schemeClr w14:val="tx1"/>
            </w14:solidFill>
          </w14:textFill>
        </w:rPr>
        <w:t>”“</w:t>
      </w:r>
      <w:r>
        <w:rPr>
          <w:rStyle w:val="17"/>
          <w:rFonts w:hint="default" w:ascii="仿宋_GB2312" w:eastAsia="仿宋_GB2312"/>
          <w:color w:val="000000" w:themeColor="text1"/>
          <w:sz w:val="32"/>
          <w:szCs w:val="32"/>
          <w:highlight w:val="none"/>
          <w14:textFill>
            <w14:solidFill>
              <w14:schemeClr w14:val="tx1"/>
            </w14:solidFill>
          </w14:textFill>
        </w:rPr>
        <w:t>技术指标”。</w:t>
      </w:r>
    </w:p>
    <w:p w14:paraId="02710C58">
      <w:pPr>
        <w:ind w:firstLine="640" w:firstLineChars="200"/>
        <w:rPr>
          <w:rStyle w:val="17"/>
          <w:rFonts w:hint="default" w:ascii="仿宋_GB2312" w:eastAsia="仿宋_GB2312"/>
          <w:color w:val="000000" w:themeColor="text1"/>
          <w:sz w:val="32"/>
          <w:szCs w:val="32"/>
          <w14:textFill>
            <w14:solidFill>
              <w14:schemeClr w14:val="tx1"/>
            </w14:solidFill>
          </w14:textFill>
        </w:rPr>
      </w:pPr>
      <w:r>
        <w:rPr>
          <w:rStyle w:val="17"/>
          <w:rFonts w:hint="default" w:ascii="仿宋_GB2312" w:eastAsia="仿宋_GB2312"/>
          <w:color w:val="000000" w:themeColor="text1"/>
          <w:sz w:val="32"/>
          <w:szCs w:val="32"/>
          <w14:textFill>
            <w14:solidFill>
              <w14:schemeClr w14:val="tx1"/>
            </w14:solidFill>
          </w14:textFill>
        </w:rPr>
        <w:t>标准内容明确了对评价机构和试验条件的要求，将一般指标（产品外观、质量证明、说明书、使用安全性和生产日期以及使用期限等）纳入评价指标，细化了评价步骤和评价结果和报告出具等内容。</w:t>
      </w:r>
    </w:p>
    <w:p w14:paraId="4A6EBA56">
      <w:pPr>
        <w:rPr>
          <w:rFonts w:ascii="楷体_GB2312" w:eastAsia="楷体_GB2312"/>
          <w:color w:val="000000" w:themeColor="text1"/>
          <w:sz w:val="32"/>
          <w:szCs w:val="32"/>
          <w14:textFill>
            <w14:solidFill>
              <w14:schemeClr w14:val="tx1"/>
            </w14:solidFill>
          </w14:textFill>
        </w:rPr>
      </w:pPr>
      <w:r>
        <w:rPr>
          <w:rFonts w:hint="eastAsia" w:ascii="楷体_GB2312" w:eastAsia="楷体_GB2312"/>
          <w:color w:val="000000" w:themeColor="text1"/>
          <w:sz w:val="32"/>
          <w:szCs w:val="32"/>
          <w14:textFill>
            <w14:solidFill>
              <w14:schemeClr w14:val="tx1"/>
            </w14:solidFill>
          </w14:textFill>
        </w:rPr>
        <w:t>（一）范围</w:t>
      </w:r>
    </w:p>
    <w:p w14:paraId="4F2B2AB8">
      <w:pPr>
        <w:pStyle w:val="13"/>
        <w:ind w:firstLine="640"/>
        <w:rPr>
          <w:rStyle w:val="17"/>
          <w:rFonts w:hint="default" w:ascii="仿宋_GB2312" w:eastAsia="仿宋_GB2312"/>
          <w:color w:val="000000" w:themeColor="text1"/>
          <w:sz w:val="32"/>
          <w:szCs w:val="32"/>
          <w14:textFill>
            <w14:solidFill>
              <w14:schemeClr w14:val="tx1"/>
            </w14:solidFill>
          </w14:textFill>
        </w:rPr>
      </w:pPr>
      <w:r>
        <w:rPr>
          <w:rStyle w:val="17"/>
          <w:rFonts w:hint="default" w:ascii="仿宋_GB2312" w:eastAsia="仿宋_GB2312"/>
          <w:color w:val="000000" w:themeColor="text1"/>
          <w:sz w:val="32"/>
          <w:szCs w:val="32"/>
          <w14:textFill>
            <w14:solidFill>
              <w14:schemeClr w14:val="tx1"/>
            </w14:solidFill>
          </w14:textFill>
        </w:rPr>
        <w:t>本标准规定了食品快速</w:t>
      </w:r>
      <w:r>
        <w:rPr>
          <w:rStyle w:val="17"/>
          <w:rFonts w:hint="eastAsia" w:ascii="仿宋_GB2312" w:eastAsia="仿宋_GB2312"/>
          <w:color w:val="000000" w:themeColor="text1"/>
          <w:sz w:val="32"/>
          <w:szCs w:val="32"/>
          <w:lang w:eastAsia="zh-CN"/>
          <w14:textFill>
            <w14:solidFill>
              <w14:schemeClr w14:val="tx1"/>
            </w14:solidFill>
          </w14:textFill>
        </w:rPr>
        <w:t>检测</w:t>
      </w:r>
      <w:r>
        <w:rPr>
          <w:rStyle w:val="17"/>
          <w:rFonts w:hint="default" w:ascii="仿宋_GB2312" w:eastAsia="仿宋_GB2312"/>
          <w:color w:val="000000" w:themeColor="text1"/>
          <w:sz w:val="32"/>
          <w:szCs w:val="32"/>
          <w14:textFill>
            <w14:solidFill>
              <w14:schemeClr w14:val="tx1"/>
            </w14:solidFill>
          </w14:textFill>
        </w:rPr>
        <w:t>产品评价的通用要求、评价指标、评价步骤、评价结果及出具等要求。</w:t>
      </w:r>
    </w:p>
    <w:p w14:paraId="1BE532BD">
      <w:pPr>
        <w:ind w:firstLine="640" w:firstLineChars="200"/>
        <w:rPr>
          <w:rStyle w:val="17"/>
          <w:rFonts w:hint="default" w:ascii="仿宋_GB2312" w:eastAsia="仿宋_GB2312"/>
          <w:color w:val="000000" w:themeColor="text1"/>
          <w:sz w:val="32"/>
          <w:szCs w:val="32"/>
          <w14:textFill>
            <w14:solidFill>
              <w14:schemeClr w14:val="tx1"/>
            </w14:solidFill>
          </w14:textFill>
        </w:rPr>
      </w:pPr>
      <w:r>
        <w:rPr>
          <w:rStyle w:val="17"/>
          <w:rFonts w:hint="default" w:ascii="仿宋_GB2312" w:eastAsia="仿宋_GB2312"/>
          <w:color w:val="000000" w:themeColor="text1"/>
          <w:sz w:val="32"/>
          <w:szCs w:val="32"/>
          <w14:textFill>
            <w14:solidFill>
              <w14:schemeClr w14:val="tx1"/>
            </w14:solidFill>
          </w14:textFill>
        </w:rPr>
        <w:t>对标准的适用单位不作限定，评价对象不局限于农兽药残留、非法添加、真菌毒素、食品添加剂、污染物质等定性快检产品。微生物等快检方法及产品亦可以采用本标准进行评价。标准覆盖面更广，满足市场消费和监管需求。</w:t>
      </w:r>
    </w:p>
    <w:p w14:paraId="449730DB">
      <w:pPr>
        <w:rPr>
          <w:rFonts w:ascii="楷体_GB2312" w:eastAsia="楷体_GB2312"/>
          <w:color w:val="000000" w:themeColor="text1"/>
          <w:sz w:val="32"/>
          <w:szCs w:val="32"/>
          <w14:textFill>
            <w14:solidFill>
              <w14:schemeClr w14:val="tx1"/>
            </w14:solidFill>
          </w14:textFill>
        </w:rPr>
      </w:pPr>
      <w:r>
        <w:rPr>
          <w:rFonts w:hint="eastAsia" w:ascii="楷体_GB2312" w:eastAsia="楷体_GB2312"/>
          <w:color w:val="000000" w:themeColor="text1"/>
          <w:sz w:val="32"/>
          <w:szCs w:val="32"/>
          <w14:textFill>
            <w14:solidFill>
              <w14:schemeClr w14:val="tx1"/>
            </w14:solidFill>
          </w14:textFill>
        </w:rPr>
        <w:t>（二）术语和定义</w:t>
      </w:r>
    </w:p>
    <w:p w14:paraId="79BFF62B">
      <w:pPr>
        <w:ind w:firstLine="640" w:firstLineChars="200"/>
        <w:rPr>
          <w:rStyle w:val="17"/>
          <w:rFonts w:hint="default" w:ascii="仿宋_GB2312" w:eastAsia="仿宋_GB2312"/>
          <w:color w:val="000000" w:themeColor="text1"/>
          <w:sz w:val="32"/>
          <w:szCs w:val="32"/>
          <w:highlight w:val="none"/>
          <w14:textFill>
            <w14:solidFill>
              <w14:schemeClr w14:val="tx1"/>
            </w14:solidFill>
          </w14:textFill>
        </w:rPr>
      </w:pPr>
      <w:r>
        <w:rPr>
          <w:rStyle w:val="17"/>
          <w:rFonts w:hint="default" w:ascii="仿宋_GB2312" w:eastAsia="仿宋_GB2312"/>
          <w:color w:val="000000" w:themeColor="text1"/>
          <w:sz w:val="32"/>
          <w:szCs w:val="32"/>
          <w:highlight w:val="none"/>
          <w14:textFill>
            <w14:solidFill>
              <w14:schemeClr w14:val="tx1"/>
            </w14:solidFill>
          </w14:textFill>
        </w:rPr>
        <w:t>“食品快速检测产品”定义参考了《食品药品监管总局关于规范食品快速检测方法使用管理的意见》（食药监科</w:t>
      </w:r>
      <w:r>
        <w:rPr>
          <w:rStyle w:val="17"/>
          <w:rFonts w:hint="eastAsia" w:ascii="仿宋_GB2312" w:eastAsia="仿宋_GB2312"/>
          <w:color w:val="000000" w:themeColor="text1"/>
          <w:sz w:val="32"/>
          <w:szCs w:val="32"/>
          <w:highlight w:val="none"/>
          <w:lang w:eastAsia="zh-CN"/>
          <w14:textFill>
            <w14:solidFill>
              <w14:schemeClr w14:val="tx1"/>
            </w14:solidFill>
          </w14:textFill>
        </w:rPr>
        <w:t>〔2017〕49号</w:t>
      </w:r>
      <w:r>
        <w:rPr>
          <w:rStyle w:val="17"/>
          <w:rFonts w:hint="default" w:ascii="仿宋_GB2312" w:eastAsia="仿宋_GB2312"/>
          <w:color w:val="000000" w:themeColor="text1"/>
          <w:sz w:val="32"/>
          <w:szCs w:val="32"/>
          <w:highlight w:val="none"/>
          <w14:textFill>
            <w14:solidFill>
              <w14:schemeClr w14:val="tx1"/>
            </w14:solidFill>
          </w14:textFill>
        </w:rPr>
        <w:t>）中关于“食品快检”的相关定义。</w:t>
      </w:r>
    </w:p>
    <w:p w14:paraId="5C5C0881">
      <w:pPr>
        <w:ind w:firstLine="640" w:firstLineChars="200"/>
        <w:rPr>
          <w:rStyle w:val="17"/>
          <w:rFonts w:hint="default" w:ascii="仿宋_GB2312" w:eastAsia="仿宋_GB2312"/>
          <w:color w:val="000000" w:themeColor="text1"/>
          <w:sz w:val="32"/>
          <w:szCs w:val="32"/>
          <w:highlight w:val="none"/>
          <w14:textFill>
            <w14:solidFill>
              <w14:schemeClr w14:val="tx1"/>
            </w14:solidFill>
          </w14:textFill>
        </w:rPr>
      </w:pPr>
      <w:r>
        <w:rPr>
          <w:rStyle w:val="17"/>
          <w:rFonts w:hint="default" w:ascii="仿宋_GB2312" w:eastAsia="仿宋_GB2312"/>
          <w:color w:val="000000" w:themeColor="text1"/>
          <w:sz w:val="32"/>
          <w:szCs w:val="32"/>
          <w:highlight w:val="none"/>
          <w14:textFill>
            <w14:solidFill>
              <w14:schemeClr w14:val="tx1"/>
            </w14:solidFill>
          </w14:textFill>
        </w:rPr>
        <w:t>“基质</w:t>
      </w:r>
      <w:r>
        <w:rPr>
          <w:rStyle w:val="17"/>
          <w:rFonts w:hint="eastAsia" w:ascii="仿宋_GB2312" w:eastAsia="仿宋_GB2312"/>
          <w:color w:val="000000" w:themeColor="text1"/>
          <w:sz w:val="32"/>
          <w:szCs w:val="32"/>
          <w:highlight w:val="none"/>
          <w:lang w:eastAsia="zh-CN"/>
          <w14:textFill>
            <w14:solidFill>
              <w14:schemeClr w14:val="tx1"/>
            </w14:solidFill>
          </w14:textFill>
        </w:rPr>
        <w:t>”“</w:t>
      </w:r>
      <w:r>
        <w:rPr>
          <w:rStyle w:val="17"/>
          <w:rFonts w:hint="default" w:ascii="仿宋_GB2312" w:eastAsia="仿宋_GB2312"/>
          <w:color w:val="000000" w:themeColor="text1"/>
          <w:sz w:val="32"/>
          <w:szCs w:val="32"/>
          <w:highlight w:val="none"/>
          <w14:textFill>
            <w14:solidFill>
              <w14:schemeClr w14:val="tx1"/>
            </w14:solidFill>
          </w14:textFill>
        </w:rPr>
        <w:t>标准物质</w:t>
      </w:r>
      <w:r>
        <w:rPr>
          <w:rStyle w:val="17"/>
          <w:rFonts w:hint="eastAsia" w:ascii="仿宋_GB2312" w:eastAsia="仿宋_GB2312"/>
          <w:color w:val="000000" w:themeColor="text1"/>
          <w:sz w:val="32"/>
          <w:szCs w:val="32"/>
          <w:highlight w:val="none"/>
          <w:lang w:eastAsia="zh-CN"/>
          <w14:textFill>
            <w14:solidFill>
              <w14:schemeClr w14:val="tx1"/>
            </w14:solidFill>
          </w14:textFill>
        </w:rPr>
        <w:t>”“</w:t>
      </w:r>
      <w:r>
        <w:rPr>
          <w:rStyle w:val="17"/>
          <w:rFonts w:hint="default" w:ascii="仿宋_GB2312" w:eastAsia="仿宋_GB2312"/>
          <w:color w:val="000000" w:themeColor="text1"/>
          <w:sz w:val="32"/>
          <w:szCs w:val="32"/>
          <w:highlight w:val="none"/>
          <w14:textFill>
            <w14:solidFill>
              <w14:schemeClr w14:val="tx1"/>
            </w14:solidFill>
          </w14:textFill>
        </w:rPr>
        <w:t>参比方法”和“检测限”引用了《商品化食品检测试剂盒评价方法》（SN/T 2775-20</w:t>
      </w:r>
      <w:r>
        <w:rPr>
          <w:rStyle w:val="17"/>
          <w:rFonts w:hint="eastAsia" w:ascii="仿宋_GB2312" w:eastAsia="仿宋_GB2312"/>
          <w:color w:val="000000" w:themeColor="text1"/>
          <w:sz w:val="32"/>
          <w:szCs w:val="32"/>
          <w:highlight w:val="none"/>
          <w:lang w:val="en-US" w:eastAsia="zh-CN"/>
          <w14:textFill>
            <w14:solidFill>
              <w14:schemeClr w14:val="tx1"/>
            </w14:solidFill>
          </w14:textFill>
        </w:rPr>
        <w:t>23</w:t>
      </w:r>
      <w:r>
        <w:rPr>
          <w:rStyle w:val="17"/>
          <w:rFonts w:hint="default" w:ascii="仿宋_GB2312" w:eastAsia="仿宋_GB2312"/>
          <w:color w:val="000000" w:themeColor="text1"/>
          <w:sz w:val="32"/>
          <w:szCs w:val="32"/>
          <w:highlight w:val="none"/>
          <w14:textFill>
            <w14:solidFill>
              <w14:schemeClr w14:val="tx1"/>
            </w14:solidFill>
          </w14:textFill>
        </w:rPr>
        <w:t>）中相关定义。</w:t>
      </w:r>
    </w:p>
    <w:p w14:paraId="7C269213">
      <w:pPr>
        <w:ind w:firstLine="640" w:firstLineChars="200"/>
        <w:rPr>
          <w:rStyle w:val="17"/>
          <w:rFonts w:hint="default" w:ascii="仿宋_GB2312" w:eastAsia="仿宋_GB2312"/>
          <w:color w:val="000000" w:themeColor="text1"/>
          <w:sz w:val="32"/>
          <w:szCs w:val="32"/>
          <w:highlight w:val="none"/>
          <w14:textFill>
            <w14:solidFill>
              <w14:schemeClr w14:val="tx1"/>
            </w14:solidFill>
          </w14:textFill>
        </w:rPr>
      </w:pPr>
      <w:r>
        <w:rPr>
          <w:rStyle w:val="17"/>
          <w:rFonts w:hint="default" w:ascii="仿宋_GB2312" w:eastAsia="仿宋_GB2312"/>
          <w:color w:val="000000" w:themeColor="text1"/>
          <w:sz w:val="32"/>
          <w:szCs w:val="32"/>
          <w:highlight w:val="none"/>
          <w14:textFill>
            <w14:solidFill>
              <w14:schemeClr w14:val="tx1"/>
            </w14:solidFill>
          </w14:textFill>
        </w:rPr>
        <w:t>“灵敏度</w:t>
      </w:r>
      <w:r>
        <w:rPr>
          <w:rStyle w:val="17"/>
          <w:rFonts w:hint="eastAsia" w:ascii="仿宋_GB2312" w:eastAsia="仿宋_GB2312"/>
          <w:color w:val="000000" w:themeColor="text1"/>
          <w:sz w:val="32"/>
          <w:szCs w:val="32"/>
          <w:highlight w:val="none"/>
          <w:lang w:eastAsia="zh-CN"/>
          <w14:textFill>
            <w14:solidFill>
              <w14:schemeClr w14:val="tx1"/>
            </w14:solidFill>
          </w14:textFill>
        </w:rPr>
        <w:t>”“</w:t>
      </w:r>
      <w:r>
        <w:rPr>
          <w:rStyle w:val="17"/>
          <w:rFonts w:hint="default" w:ascii="仿宋_GB2312" w:eastAsia="仿宋_GB2312"/>
          <w:color w:val="000000" w:themeColor="text1"/>
          <w:sz w:val="32"/>
          <w:szCs w:val="32"/>
          <w:highlight w:val="none"/>
          <w14:textFill>
            <w14:solidFill>
              <w14:schemeClr w14:val="tx1"/>
            </w14:solidFill>
          </w14:textFill>
        </w:rPr>
        <w:t>特异性</w:t>
      </w:r>
      <w:r>
        <w:rPr>
          <w:rStyle w:val="17"/>
          <w:rFonts w:hint="eastAsia" w:ascii="仿宋_GB2312" w:eastAsia="仿宋_GB2312"/>
          <w:color w:val="000000" w:themeColor="text1"/>
          <w:sz w:val="32"/>
          <w:szCs w:val="32"/>
          <w:highlight w:val="none"/>
          <w:lang w:eastAsia="zh-CN"/>
          <w14:textFill>
            <w14:solidFill>
              <w14:schemeClr w14:val="tx1"/>
            </w14:solidFill>
          </w14:textFill>
        </w:rPr>
        <w:t>”“</w:t>
      </w:r>
      <w:r>
        <w:rPr>
          <w:rStyle w:val="17"/>
          <w:rFonts w:hint="default" w:ascii="仿宋_GB2312" w:eastAsia="仿宋_GB2312"/>
          <w:color w:val="000000" w:themeColor="text1"/>
          <w:sz w:val="32"/>
          <w:szCs w:val="32"/>
          <w:highlight w:val="none"/>
          <w14:textFill>
            <w14:solidFill>
              <w14:schemeClr w14:val="tx1"/>
            </w14:solidFill>
          </w14:textFill>
        </w:rPr>
        <w:t>假阴性率”和“假阳性率”参考了《市场监管总局关于规范食品快速检测使用的意见》（国市监食检规</w:t>
      </w:r>
      <w:r>
        <w:rPr>
          <w:rStyle w:val="17"/>
          <w:rFonts w:hint="default" w:ascii="仿宋_GB2312" w:hAnsi="仿宋" w:eastAsia="仿宋_GB2312"/>
          <w:color w:val="000000" w:themeColor="text1"/>
          <w:sz w:val="32"/>
          <w:szCs w:val="32"/>
          <w:highlight w:val="none"/>
          <w14:textFill>
            <w14:solidFill>
              <w14:schemeClr w14:val="tx1"/>
            </w14:solidFill>
          </w14:textFill>
        </w:rPr>
        <w:t>〔20</w:t>
      </w:r>
      <w:r>
        <w:rPr>
          <w:rStyle w:val="17"/>
          <w:rFonts w:hint="eastAsia" w:ascii="仿宋_GB2312" w:hAnsi="仿宋" w:eastAsia="仿宋_GB2312"/>
          <w:color w:val="000000" w:themeColor="text1"/>
          <w:sz w:val="32"/>
          <w:szCs w:val="32"/>
          <w:highlight w:val="none"/>
          <w:lang w:val="en-US" w:eastAsia="zh-CN"/>
          <w14:textFill>
            <w14:solidFill>
              <w14:schemeClr w14:val="tx1"/>
            </w14:solidFill>
          </w14:textFill>
        </w:rPr>
        <w:t>23</w:t>
      </w:r>
      <w:r>
        <w:rPr>
          <w:rStyle w:val="17"/>
          <w:rFonts w:hint="default" w:ascii="仿宋_GB2312" w:hAnsi="仿宋" w:eastAsia="仿宋_GB2312"/>
          <w:color w:val="000000" w:themeColor="text1"/>
          <w:sz w:val="32"/>
          <w:szCs w:val="32"/>
          <w:highlight w:val="none"/>
          <w14:textFill>
            <w14:solidFill>
              <w14:schemeClr w14:val="tx1"/>
            </w14:solidFill>
          </w14:textFill>
        </w:rPr>
        <w:t>〕</w:t>
      </w:r>
      <w:r>
        <w:rPr>
          <w:rStyle w:val="17"/>
          <w:rFonts w:hint="eastAsia" w:ascii="仿宋_GB2312" w:eastAsia="仿宋_GB2312"/>
          <w:color w:val="000000" w:themeColor="text1"/>
          <w:sz w:val="32"/>
          <w:szCs w:val="32"/>
          <w:highlight w:val="none"/>
          <w:lang w:val="en-US" w:eastAsia="zh-CN"/>
          <w14:textFill>
            <w14:solidFill>
              <w14:schemeClr w14:val="tx1"/>
            </w14:solidFill>
          </w14:textFill>
        </w:rPr>
        <w:t>1</w:t>
      </w:r>
      <w:r>
        <w:rPr>
          <w:rStyle w:val="17"/>
          <w:rFonts w:hint="default" w:ascii="仿宋_GB2312" w:eastAsia="仿宋_GB2312"/>
          <w:color w:val="000000" w:themeColor="text1"/>
          <w:sz w:val="32"/>
          <w:szCs w:val="32"/>
          <w:highlight w:val="none"/>
          <w14:textFill>
            <w14:solidFill>
              <w14:schemeClr w14:val="tx1"/>
            </w14:solidFill>
          </w14:textFill>
        </w:rPr>
        <w:t>号）中相关定义。</w:t>
      </w:r>
    </w:p>
    <w:p w14:paraId="0BCC7E01">
      <w:pPr>
        <w:rPr>
          <w:rFonts w:ascii="楷体_GB2312" w:eastAsia="楷体_GB2312"/>
          <w:color w:val="000000" w:themeColor="text1"/>
          <w:sz w:val="32"/>
          <w:szCs w:val="32"/>
          <w:highlight w:val="none"/>
          <w14:textFill>
            <w14:solidFill>
              <w14:schemeClr w14:val="tx1"/>
            </w14:solidFill>
          </w14:textFill>
        </w:rPr>
      </w:pPr>
      <w:r>
        <w:rPr>
          <w:rFonts w:hint="eastAsia" w:ascii="楷体_GB2312" w:eastAsia="楷体_GB2312"/>
          <w:color w:val="000000" w:themeColor="text1"/>
          <w:sz w:val="32"/>
          <w:szCs w:val="32"/>
          <w:highlight w:val="none"/>
          <w14:textFill>
            <w14:solidFill>
              <w14:schemeClr w14:val="tx1"/>
            </w14:solidFill>
          </w14:textFill>
        </w:rPr>
        <w:t>（三）通用要求</w:t>
      </w:r>
    </w:p>
    <w:p w14:paraId="67B4FDE7">
      <w:pPr>
        <w:ind w:firstLine="640" w:firstLineChars="200"/>
        <w:rPr>
          <w:rStyle w:val="17"/>
          <w:rFonts w:hint="default" w:ascii="仿宋_GB2312" w:eastAsia="仿宋_GB2312"/>
          <w:color w:val="000000" w:themeColor="text1"/>
          <w:sz w:val="32"/>
          <w:szCs w:val="32"/>
          <w14:textFill>
            <w14:solidFill>
              <w14:schemeClr w14:val="tx1"/>
            </w14:solidFill>
          </w14:textFill>
        </w:rPr>
      </w:pPr>
      <w:r>
        <w:rPr>
          <w:rStyle w:val="17"/>
          <w:rFonts w:hint="eastAsia" w:ascii="仿宋_GB2312" w:eastAsia="仿宋_GB2312"/>
          <w:color w:val="000000" w:themeColor="text1"/>
          <w:sz w:val="32"/>
          <w:szCs w:val="32"/>
          <w:lang w:eastAsia="zh-CN"/>
          <w14:textFill>
            <w14:solidFill>
              <w14:schemeClr w14:val="tx1"/>
            </w14:solidFill>
          </w14:textFill>
        </w:rPr>
        <w:t>本标准结合快检产品评价工作的实际需要，提出了</w:t>
      </w:r>
      <w:r>
        <w:rPr>
          <w:rStyle w:val="17"/>
          <w:rFonts w:hint="default" w:ascii="仿宋_GB2312" w:eastAsia="仿宋_GB2312"/>
          <w:color w:val="000000" w:themeColor="text1"/>
          <w:sz w:val="32"/>
          <w:szCs w:val="32"/>
          <w14:textFill>
            <w14:solidFill>
              <w14:schemeClr w14:val="tx1"/>
            </w14:solidFill>
          </w14:textFill>
        </w:rPr>
        <w:t>评价机构要求、评价受理要求、评价工作要求</w:t>
      </w:r>
      <w:r>
        <w:rPr>
          <w:rStyle w:val="17"/>
          <w:rFonts w:hint="eastAsia" w:ascii="仿宋_GB2312" w:eastAsia="仿宋_GB2312"/>
          <w:color w:val="000000" w:themeColor="text1"/>
          <w:sz w:val="32"/>
          <w:szCs w:val="32"/>
          <w:lang w:eastAsia="zh-CN"/>
          <w14:textFill>
            <w14:solidFill>
              <w14:schemeClr w14:val="tx1"/>
            </w14:solidFill>
          </w14:textFill>
        </w:rPr>
        <w:t>，</w:t>
      </w:r>
      <w:r>
        <w:rPr>
          <w:rStyle w:val="17"/>
          <w:rFonts w:hint="default" w:ascii="仿宋_GB2312" w:eastAsia="仿宋_GB2312"/>
          <w:color w:val="000000" w:themeColor="text1"/>
          <w:sz w:val="32"/>
          <w:szCs w:val="32"/>
          <w14:textFill>
            <w14:solidFill>
              <w14:schemeClr w14:val="tx1"/>
            </w14:solidFill>
          </w14:textFill>
        </w:rPr>
        <w:t>对实施机构资质、适宜的试验条件进行了相应规定。</w:t>
      </w:r>
    </w:p>
    <w:p w14:paraId="7A312F58">
      <w:pPr>
        <w:ind w:firstLine="640" w:firstLineChars="200"/>
        <w:rPr>
          <w:rStyle w:val="17"/>
          <w:rFonts w:hint="default" w:ascii="仿宋_GB2312" w:eastAsia="仿宋_GB2312"/>
          <w:color w:val="000000" w:themeColor="text1"/>
          <w:sz w:val="32"/>
          <w:szCs w:val="32"/>
          <w14:textFill>
            <w14:solidFill>
              <w14:schemeClr w14:val="tx1"/>
            </w14:solidFill>
          </w14:textFill>
        </w:rPr>
      </w:pPr>
      <w:r>
        <w:rPr>
          <w:rStyle w:val="17"/>
          <w:rFonts w:hint="default" w:ascii="仿宋_GB2312" w:eastAsia="仿宋_GB2312"/>
          <w:color w:val="000000" w:themeColor="text1"/>
          <w:sz w:val="32"/>
          <w:szCs w:val="32"/>
          <w14:textFill>
            <w14:solidFill>
              <w14:schemeClr w14:val="tx1"/>
            </w14:solidFill>
          </w14:textFill>
        </w:rPr>
        <w:t>对盲样的通用要求，则强调考虑实际需求和江西省的地域特色来选择制备盲样的基质，从而体现了该地标制定的意义和特色。对盲样的浓度水平、数量、均匀度和稳定性等要求则主要参考了《食品快速检测方法评价技术规范》（食药监办</w:t>
      </w:r>
      <w:r>
        <w:rPr>
          <w:rStyle w:val="17"/>
          <w:rFonts w:hint="default" w:ascii="仿宋_GB2312" w:hAnsi="仿宋" w:eastAsia="仿宋_GB2312"/>
          <w:color w:val="000000" w:themeColor="text1"/>
          <w:sz w:val="32"/>
          <w:szCs w:val="32"/>
          <w14:textFill>
            <w14:solidFill>
              <w14:schemeClr w14:val="tx1"/>
            </w14:solidFill>
          </w14:textFill>
        </w:rPr>
        <w:t>科〔20</w:t>
      </w:r>
      <w:r>
        <w:rPr>
          <w:rStyle w:val="17"/>
          <w:rFonts w:hint="eastAsia" w:ascii="仿宋_GB2312" w:hAnsi="仿宋" w:eastAsia="仿宋_GB2312"/>
          <w:color w:val="000000" w:themeColor="text1"/>
          <w:sz w:val="32"/>
          <w:szCs w:val="32"/>
          <w:lang w:val="en-US" w:eastAsia="zh-CN"/>
          <w14:textFill>
            <w14:solidFill>
              <w14:schemeClr w14:val="tx1"/>
            </w14:solidFill>
          </w14:textFill>
        </w:rPr>
        <w:t>17</w:t>
      </w:r>
      <w:r>
        <w:rPr>
          <w:rStyle w:val="17"/>
          <w:rFonts w:hint="default" w:ascii="仿宋_GB2312" w:hAnsi="仿宋" w:eastAsia="仿宋_GB2312"/>
          <w:color w:val="000000" w:themeColor="text1"/>
          <w:sz w:val="32"/>
          <w:szCs w:val="32"/>
          <w14:textFill>
            <w14:solidFill>
              <w14:schemeClr w14:val="tx1"/>
            </w14:solidFill>
          </w14:textFill>
        </w:rPr>
        <w:t>〕</w:t>
      </w:r>
      <w:r>
        <w:rPr>
          <w:rStyle w:val="17"/>
          <w:rFonts w:hint="default" w:ascii="仿宋_GB2312" w:eastAsia="仿宋_GB2312"/>
          <w:color w:val="000000" w:themeColor="text1"/>
          <w:sz w:val="32"/>
          <w:szCs w:val="32"/>
          <w14:textFill>
            <w14:solidFill>
              <w14:schemeClr w14:val="tx1"/>
            </w14:solidFill>
          </w14:textFill>
        </w:rPr>
        <w:t>43号）的相关规定。</w:t>
      </w:r>
    </w:p>
    <w:p w14:paraId="40BB5FD8">
      <w:pPr>
        <w:rPr>
          <w:rFonts w:ascii="楷体_GB2312" w:eastAsia="楷体_GB2312"/>
          <w:color w:val="000000" w:themeColor="text1"/>
          <w:sz w:val="32"/>
          <w:szCs w:val="32"/>
          <w14:textFill>
            <w14:solidFill>
              <w14:schemeClr w14:val="tx1"/>
            </w14:solidFill>
          </w14:textFill>
        </w:rPr>
      </w:pPr>
      <w:r>
        <w:rPr>
          <w:rFonts w:hint="eastAsia" w:ascii="楷体_GB2312" w:eastAsia="楷体_GB2312"/>
          <w:color w:val="000000" w:themeColor="text1"/>
          <w:sz w:val="32"/>
          <w:szCs w:val="32"/>
          <w14:textFill>
            <w14:solidFill>
              <w14:schemeClr w14:val="tx1"/>
            </w14:solidFill>
          </w14:textFill>
        </w:rPr>
        <w:t>（四）评价指标</w:t>
      </w:r>
    </w:p>
    <w:p w14:paraId="31EB7D8B">
      <w:pPr>
        <w:ind w:firstLine="643" w:firstLineChars="201"/>
        <w:rPr>
          <w:rStyle w:val="17"/>
          <w:rFonts w:hint="default" w:ascii="仿宋_GB2312" w:eastAsia="仿宋_GB2312"/>
          <w:color w:val="000000" w:themeColor="text1"/>
          <w:sz w:val="32"/>
          <w:szCs w:val="32"/>
          <w14:textFill>
            <w14:solidFill>
              <w14:schemeClr w14:val="tx1"/>
            </w14:solidFill>
          </w14:textFill>
        </w:rPr>
      </w:pPr>
      <w:r>
        <w:rPr>
          <w:rStyle w:val="17"/>
          <w:rFonts w:hint="default" w:ascii="仿宋_GB2312" w:eastAsia="仿宋_GB2312"/>
          <w:color w:val="000000" w:themeColor="text1"/>
          <w:sz w:val="32"/>
          <w:szCs w:val="32"/>
          <w14:textFill>
            <w14:solidFill>
              <w14:schemeClr w14:val="tx1"/>
            </w14:solidFill>
          </w14:textFill>
        </w:rPr>
        <w:t>快检产品存在生产企业研发水平较大、行业标准规范欠缺以及产品准入门槛较低等现状，因此，快检产品的包装、配套等外观信息、质量合格证明、产品说明书、使用安全性和生产日期以及有效期等信息千差万别，且一定程度反映了产品质量情况。除了技术指标外，本标准将这类一般指标纳入评价指标之一，能够</w:t>
      </w:r>
      <w:r>
        <w:rPr>
          <w:rStyle w:val="17"/>
          <w:rFonts w:hint="eastAsia" w:ascii="仿宋_GB2312" w:eastAsia="仿宋_GB2312"/>
          <w:color w:val="000000" w:themeColor="text1"/>
          <w:sz w:val="32"/>
          <w:szCs w:val="32"/>
          <w:lang w:eastAsia="zh-CN"/>
          <w14:textFill>
            <w14:solidFill>
              <w14:schemeClr w14:val="tx1"/>
            </w14:solidFill>
          </w14:textFill>
        </w:rPr>
        <w:t>更全面地掌握</w:t>
      </w:r>
      <w:r>
        <w:rPr>
          <w:rStyle w:val="17"/>
          <w:rFonts w:hint="default" w:ascii="仿宋_GB2312" w:eastAsia="仿宋_GB2312"/>
          <w:color w:val="000000" w:themeColor="text1"/>
          <w:sz w:val="32"/>
          <w:szCs w:val="32"/>
          <w14:textFill>
            <w14:solidFill>
              <w14:schemeClr w14:val="tx1"/>
            </w14:solidFill>
          </w14:textFill>
        </w:rPr>
        <w:t>快检产品的质量情况，同时对一般指标较差的产品，则根据需求不必要考量技术指标，省时省力。</w:t>
      </w:r>
    </w:p>
    <w:p w14:paraId="371A2147">
      <w:pPr>
        <w:rPr>
          <w:rFonts w:ascii="楷体_GB2312" w:eastAsia="楷体_GB2312"/>
          <w:color w:val="000000" w:themeColor="text1"/>
          <w:sz w:val="32"/>
          <w:szCs w:val="32"/>
          <w14:textFill>
            <w14:solidFill>
              <w14:schemeClr w14:val="tx1"/>
            </w14:solidFill>
          </w14:textFill>
        </w:rPr>
      </w:pPr>
      <w:r>
        <w:rPr>
          <w:rFonts w:hint="eastAsia" w:ascii="楷体_GB2312" w:eastAsia="楷体_GB2312"/>
          <w:color w:val="000000" w:themeColor="text1"/>
          <w:sz w:val="32"/>
          <w:szCs w:val="32"/>
          <w14:textFill>
            <w14:solidFill>
              <w14:schemeClr w14:val="tx1"/>
            </w14:solidFill>
          </w14:textFill>
        </w:rPr>
        <w:t>（五）评价步骤</w:t>
      </w:r>
    </w:p>
    <w:p w14:paraId="3C4319AD">
      <w:pPr>
        <w:ind w:firstLine="640" w:firstLineChars="200"/>
        <w:rPr>
          <w:rStyle w:val="17"/>
          <w:rFonts w:hint="default" w:ascii="仿宋_GB2312" w:eastAsia="仿宋_GB2312"/>
          <w:color w:val="000000" w:themeColor="text1"/>
          <w:sz w:val="32"/>
          <w:szCs w:val="32"/>
          <w14:textFill>
            <w14:solidFill>
              <w14:schemeClr w14:val="tx1"/>
            </w14:solidFill>
          </w14:textFill>
        </w:rPr>
      </w:pPr>
      <w:r>
        <w:rPr>
          <w:rStyle w:val="17"/>
          <w:rFonts w:hint="default" w:ascii="仿宋_GB2312" w:eastAsia="仿宋_GB2312"/>
          <w:color w:val="000000" w:themeColor="text1"/>
          <w:sz w:val="32"/>
          <w:szCs w:val="32"/>
          <w14:textFill>
            <w14:solidFill>
              <w14:schemeClr w14:val="tx1"/>
            </w14:solidFill>
          </w14:textFill>
        </w:rPr>
        <w:t>与</w:t>
      </w:r>
      <w:r>
        <w:rPr>
          <w:rStyle w:val="17"/>
          <w:rFonts w:hint="default" w:ascii="仿宋_GB2312" w:hAnsi="仿宋" w:eastAsia="仿宋_GB2312"/>
          <w:color w:val="000000" w:themeColor="text1"/>
          <w:sz w:val="32"/>
          <w:szCs w:val="32"/>
          <w14:textFill>
            <w14:solidFill>
              <w14:schemeClr w14:val="tx1"/>
            </w14:solidFill>
          </w14:textFill>
        </w:rPr>
        <w:t>《市场监管总局关于规范食品快速检测使用的意见》（国市监食检规〔2023〕1号）</w:t>
      </w:r>
      <w:r>
        <w:rPr>
          <w:rStyle w:val="17"/>
          <w:rFonts w:hint="eastAsia" w:ascii="仿宋_GB2312" w:hAnsi="仿宋" w:eastAsia="仿宋_GB2312"/>
          <w:color w:val="000000" w:themeColor="text1"/>
          <w:sz w:val="32"/>
          <w:szCs w:val="32"/>
          <w:lang w:eastAsia="zh-CN"/>
          <w14:textFill>
            <w14:solidFill>
              <w14:schemeClr w14:val="tx1"/>
            </w14:solidFill>
          </w14:textFill>
        </w:rPr>
        <w:t>“食品快速检测产品符合性评价程序”</w:t>
      </w:r>
      <w:r>
        <w:rPr>
          <w:rStyle w:val="17"/>
          <w:rFonts w:hint="default" w:ascii="仿宋_GB2312" w:eastAsia="仿宋_GB2312"/>
          <w:color w:val="000000" w:themeColor="text1"/>
          <w:sz w:val="32"/>
          <w:szCs w:val="32"/>
          <w14:textFill>
            <w14:solidFill>
              <w14:schemeClr w14:val="tx1"/>
            </w14:solidFill>
          </w14:textFill>
        </w:rPr>
        <w:t>相比，细化了快检产品评价步骤。参照《检测和校准实验室能力认可准则》（CNAS-CL01-2018）和《检测和校准试验能力通用要求》（GB/T 27025-2019）等相关规定进一步规范了合同评审、样品管理、流转等过程要求，明确了委托方和被委托方的相关权益和责任，提高了标准实施过程中的可操作性。技术指标的评价方法给出了快检产品评价的实验原始记录模板（文本附录A）,便于标准的执行和操作。</w:t>
      </w:r>
    </w:p>
    <w:p w14:paraId="35F14C9D">
      <w:pPr>
        <w:rPr>
          <w:rFonts w:ascii="楷体_GB2312" w:eastAsia="楷体_GB2312"/>
          <w:color w:val="000000" w:themeColor="text1"/>
          <w:sz w:val="32"/>
          <w:szCs w:val="32"/>
          <w14:textFill>
            <w14:solidFill>
              <w14:schemeClr w14:val="tx1"/>
            </w14:solidFill>
          </w14:textFill>
        </w:rPr>
      </w:pPr>
      <w:r>
        <w:rPr>
          <w:rFonts w:hint="eastAsia" w:ascii="楷体_GB2312" w:eastAsia="楷体_GB2312"/>
          <w:color w:val="000000" w:themeColor="text1"/>
          <w:sz w:val="32"/>
          <w:szCs w:val="32"/>
          <w14:textFill>
            <w14:solidFill>
              <w14:schemeClr w14:val="tx1"/>
            </w14:solidFill>
          </w14:textFill>
        </w:rPr>
        <w:t>（六）评价结果及报告出具</w:t>
      </w:r>
    </w:p>
    <w:p w14:paraId="483B4A01">
      <w:pPr>
        <w:pStyle w:val="13"/>
        <w:ind w:firstLine="640"/>
        <w:rPr>
          <w:rStyle w:val="17"/>
          <w:rFonts w:hint="default" w:ascii="仿宋_GB2312" w:hAnsi="Times New Roman" w:eastAsia="仿宋_GB2312"/>
          <w:color w:val="000000" w:themeColor="text1"/>
          <w:kern w:val="2"/>
          <w:sz w:val="32"/>
          <w:szCs w:val="32"/>
          <w14:textFill>
            <w14:solidFill>
              <w14:schemeClr w14:val="tx1"/>
            </w14:solidFill>
          </w14:textFill>
        </w:rPr>
      </w:pPr>
      <w:r>
        <w:rPr>
          <w:rStyle w:val="17"/>
          <w:rFonts w:hint="default" w:ascii="仿宋_GB2312" w:eastAsia="仿宋_GB2312"/>
          <w:color w:val="000000" w:themeColor="text1"/>
          <w:sz w:val="32"/>
          <w:szCs w:val="32"/>
          <w14:textFill>
            <w14:solidFill>
              <w14:schemeClr w14:val="tx1"/>
            </w14:solidFill>
          </w14:textFill>
        </w:rPr>
        <w:t>与</w:t>
      </w:r>
      <w:r>
        <w:rPr>
          <w:rStyle w:val="17"/>
          <w:rFonts w:hint="default" w:ascii="仿宋_GB2312" w:hAnsi="仿宋" w:eastAsia="仿宋_GB2312"/>
          <w:color w:val="000000" w:themeColor="text1"/>
          <w:sz w:val="32"/>
          <w:szCs w:val="32"/>
          <w14:textFill>
            <w14:solidFill>
              <w14:schemeClr w14:val="tx1"/>
            </w14:solidFill>
          </w14:textFill>
        </w:rPr>
        <w:t>《市场监管总局关于规范食品快速检测使用的意见》（国市监食检规〔2023〕1号）</w:t>
      </w:r>
      <w:r>
        <w:rPr>
          <w:rStyle w:val="17"/>
          <w:rFonts w:hint="eastAsia" w:ascii="仿宋_GB2312" w:hAnsi="仿宋" w:eastAsia="仿宋_GB2312"/>
          <w:color w:val="000000" w:themeColor="text1"/>
          <w:sz w:val="32"/>
          <w:szCs w:val="32"/>
          <w:lang w:eastAsia="zh-CN"/>
          <w14:textFill>
            <w14:solidFill>
              <w14:schemeClr w14:val="tx1"/>
            </w14:solidFill>
          </w14:textFill>
        </w:rPr>
        <w:t>“食品快速检测产品符合性评价程序”</w:t>
      </w:r>
      <w:r>
        <w:rPr>
          <w:rStyle w:val="17"/>
          <w:rFonts w:hint="default" w:ascii="仿宋_GB2312" w:eastAsia="仿宋_GB2312"/>
          <w:color w:val="000000" w:themeColor="text1"/>
          <w:sz w:val="32"/>
          <w:szCs w:val="32"/>
          <w14:textFill>
            <w14:solidFill>
              <w14:schemeClr w14:val="tx1"/>
            </w14:solidFill>
          </w14:textFill>
        </w:rPr>
        <w:t>相比，本标准细化了快检产品评价结果及报告出具内容。报告的内容主要参考了</w:t>
      </w:r>
      <w:r>
        <w:rPr>
          <w:rFonts w:hint="eastAsia" w:ascii="仿宋_GB2312" w:eastAsia="仿宋_GB2312"/>
          <w:color w:val="000000" w:themeColor="text1"/>
          <w:kern w:val="2"/>
          <w:sz w:val="32"/>
          <w:szCs w:val="32"/>
          <w14:textFill>
            <w14:solidFill>
              <w14:schemeClr w14:val="tx1"/>
            </w14:solidFill>
          </w14:textFill>
        </w:rPr>
        <w:t>《</w:t>
      </w:r>
      <w:r>
        <w:rPr>
          <w:rFonts w:ascii="仿宋_GB2312" w:eastAsia="仿宋_GB2312"/>
          <w:color w:val="000000" w:themeColor="text1"/>
          <w:kern w:val="2"/>
          <w:sz w:val="32"/>
          <w:szCs w:val="32"/>
          <w14:textFill>
            <w14:solidFill>
              <w14:schemeClr w14:val="tx1"/>
            </w14:solidFill>
          </w14:textFill>
        </w:rPr>
        <w:t>检验检测机构资质认定能力评价 检验检测机构通用要求</w:t>
      </w:r>
      <w:r>
        <w:rPr>
          <w:rFonts w:hint="eastAsia" w:ascii="仿宋_GB2312" w:eastAsia="仿宋_GB2312"/>
          <w:color w:val="000000" w:themeColor="text1"/>
          <w:kern w:val="2"/>
          <w:sz w:val="32"/>
          <w:szCs w:val="32"/>
          <w14:textFill>
            <w14:solidFill>
              <w14:schemeClr w14:val="tx1"/>
            </w14:solidFill>
          </w14:textFill>
        </w:rPr>
        <w:t>》（</w:t>
      </w:r>
      <w:r>
        <w:rPr>
          <w:rFonts w:ascii="仿宋_GB2312" w:eastAsia="仿宋_GB2312"/>
          <w:color w:val="000000" w:themeColor="text1"/>
          <w:kern w:val="2"/>
          <w:sz w:val="32"/>
          <w:szCs w:val="32"/>
          <w14:textFill>
            <w14:solidFill>
              <w14:schemeClr w14:val="tx1"/>
            </w14:solidFill>
          </w14:textFill>
        </w:rPr>
        <w:t>RB/T 214</w:t>
      </w:r>
      <w:r>
        <w:rPr>
          <w:rFonts w:hint="eastAsia" w:ascii="仿宋_GB2312" w:eastAsia="仿宋_GB2312"/>
          <w:color w:val="000000" w:themeColor="text1"/>
          <w:kern w:val="2"/>
          <w:sz w:val="32"/>
          <w:szCs w:val="32"/>
          <w14:textFill>
            <w14:solidFill>
              <w14:schemeClr w14:val="tx1"/>
            </w14:solidFill>
          </w14:textFill>
        </w:rPr>
        <w:t>-2017）、</w:t>
      </w:r>
      <w:r>
        <w:rPr>
          <w:rStyle w:val="17"/>
          <w:rFonts w:hint="default" w:ascii="仿宋_GB2312" w:eastAsia="仿宋_GB2312"/>
          <w:color w:val="000000" w:themeColor="text1"/>
          <w:sz w:val="32"/>
          <w:szCs w:val="32"/>
          <w14:textFill>
            <w14:solidFill>
              <w14:schemeClr w14:val="tx1"/>
            </w14:solidFill>
          </w14:textFill>
        </w:rPr>
        <w:t>《检测和校准实验室能力认可准则》（CNAS-CL01-2018）和《检测和校准试验能力通用要求》（GB/T 27025-2019）等相关规定。标准附录提供了快速检测产品技术指标计算表（文本附录B）和食品快速检测产品评价报告模板（文本附录C），便于标准的执行和操作。</w:t>
      </w:r>
    </w:p>
    <w:p w14:paraId="58AE5844">
      <w:pPr>
        <w:rPr>
          <w:rStyle w:val="17"/>
          <w:rFonts w:hint="default"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六、重</w:t>
      </w:r>
      <w:r>
        <w:rPr>
          <w:rStyle w:val="17"/>
          <w:rFonts w:hint="default" w:ascii="黑体" w:hAnsi="黑体" w:eastAsia="黑体"/>
          <w:color w:val="000000" w:themeColor="text1"/>
          <w:sz w:val="32"/>
          <w:szCs w:val="32"/>
          <w14:textFill>
            <w14:solidFill>
              <w14:schemeClr w14:val="tx1"/>
            </w14:solidFill>
          </w14:textFill>
        </w:rPr>
        <w:t>大</w:t>
      </w:r>
      <w:r>
        <w:rPr>
          <w:rFonts w:hint="eastAsia" w:ascii="黑体" w:hAnsi="黑体" w:eastAsia="黑体"/>
          <w:color w:val="000000" w:themeColor="text1"/>
          <w:sz w:val="32"/>
          <w:szCs w:val="32"/>
          <w14:textFill>
            <w14:solidFill>
              <w14:schemeClr w14:val="tx1"/>
            </w14:solidFill>
          </w14:textFill>
        </w:rPr>
        <w:t>意见分歧的处理依据和结果</w:t>
      </w:r>
    </w:p>
    <w:p w14:paraId="255088DA">
      <w:pPr>
        <w:ind w:firstLine="640" w:firstLineChars="200"/>
        <w:rPr>
          <w:rFonts w:ascii="仿宋_GB2312" w:eastAsia="仿宋_GB2312"/>
          <w:color w:val="000000" w:themeColor="text1"/>
          <w:sz w:val="32"/>
          <w:szCs w:val="32"/>
          <w14:textFill>
            <w14:solidFill>
              <w14:schemeClr w14:val="tx1"/>
            </w14:solidFill>
          </w14:textFill>
        </w:rPr>
      </w:pPr>
    </w:p>
    <w:p w14:paraId="4CFF2D41">
      <w:pPr>
        <w:rPr>
          <w:rFonts w:ascii="仿宋_GB2312" w:eastAsia="仿宋_GB2312"/>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七、采用国际标准或国外先进标准的，说明采标程度，以及国内外同类标准水平的对比情况</w:t>
      </w:r>
    </w:p>
    <w:p w14:paraId="72CA217C">
      <w:pPr>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无</w:t>
      </w:r>
    </w:p>
    <w:p w14:paraId="3C6958CC">
      <w:pPr>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八、贯彻标准的措施建议</w:t>
      </w:r>
    </w:p>
    <w:p w14:paraId="3D6D982A">
      <w:pPr>
        <w:ind w:firstLine="640" w:firstLineChars="200"/>
        <w:rPr>
          <w:rFonts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加强标准宣贯力度，公布标准征求意见单位的反馈意见，结合相关的法律法规和快检产品应用现状强调标准的社会需求。</w:t>
      </w:r>
    </w:p>
    <w:p w14:paraId="2E573C02">
      <w:pPr>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九、其他应说明的事项</w:t>
      </w:r>
    </w:p>
    <w:p w14:paraId="44C9BE03">
      <w:pPr>
        <w:ind w:firstLine="640" w:firstLineChars="200"/>
        <w:rPr>
          <w:rFonts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无</w:t>
      </w:r>
    </w:p>
    <w:p w14:paraId="5412B59E">
      <w:pPr>
        <w:spacing w:before="240" w:after="120"/>
        <w:jc w:val="right"/>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《食品快速检测产品评价技术规范》标准起草小组</w:t>
      </w:r>
    </w:p>
    <w:p w14:paraId="07C6CCAA">
      <w:pPr>
        <w:spacing w:before="240" w:after="120"/>
        <w:ind w:firstLine="3520" w:firstLineChars="11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二○二</w:t>
      </w:r>
      <w:r>
        <w:rPr>
          <w:rFonts w:hint="eastAsia" w:ascii="仿宋_GB2312" w:eastAsia="仿宋_GB2312"/>
          <w:color w:val="000000" w:themeColor="text1"/>
          <w:sz w:val="32"/>
          <w:szCs w:val="32"/>
          <w:lang w:eastAsia="zh-CN"/>
          <w14:textFill>
            <w14:solidFill>
              <w14:schemeClr w14:val="tx1"/>
            </w14:solidFill>
          </w14:textFill>
        </w:rPr>
        <w:t>四</w:t>
      </w:r>
      <w:r>
        <w:rPr>
          <w:rFonts w:hint="eastAsia" w:ascii="仿宋_GB2312" w:eastAsia="仿宋_GB2312"/>
          <w:color w:val="000000" w:themeColor="text1"/>
          <w:sz w:val="32"/>
          <w:szCs w:val="32"/>
          <w14:textFill>
            <w14:solidFill>
              <w14:schemeClr w14:val="tx1"/>
            </w14:solidFill>
          </w14:textFill>
        </w:rPr>
        <w:t>年</w:t>
      </w:r>
      <w:r>
        <w:rPr>
          <w:rFonts w:hint="eastAsia" w:ascii="仿宋_GB2312" w:eastAsia="仿宋_GB2312"/>
          <w:color w:val="000000" w:themeColor="text1"/>
          <w:sz w:val="32"/>
          <w:szCs w:val="32"/>
          <w:lang w:eastAsia="zh-CN"/>
          <w14:textFill>
            <w14:solidFill>
              <w14:schemeClr w14:val="tx1"/>
            </w14:solidFill>
          </w14:textFill>
        </w:rPr>
        <w:t>十</w:t>
      </w:r>
      <w:r>
        <w:rPr>
          <w:rFonts w:hint="eastAsia" w:ascii="仿宋_GB2312" w:eastAsia="仿宋_GB2312"/>
          <w:color w:val="000000" w:themeColor="text1"/>
          <w:sz w:val="32"/>
          <w:szCs w:val="32"/>
          <w14:textFill>
            <w14:solidFill>
              <w14:schemeClr w14:val="tx1"/>
            </w14:solidFill>
          </w14:textFill>
        </w:rPr>
        <w:t>月</w:t>
      </w:r>
      <w:r>
        <w:rPr>
          <w:rFonts w:hint="eastAsia" w:ascii="仿宋_GB2312" w:eastAsia="仿宋_GB2312"/>
          <w:color w:val="000000" w:themeColor="text1"/>
          <w:sz w:val="32"/>
          <w:szCs w:val="32"/>
          <w:lang w:eastAsia="zh-CN"/>
          <w14:textFill>
            <w14:solidFill>
              <w14:schemeClr w14:val="tx1"/>
            </w14:solidFill>
          </w14:textFill>
        </w:rPr>
        <w:t>三十</w:t>
      </w:r>
      <w:r>
        <w:rPr>
          <w:rFonts w:hint="eastAsia" w:ascii="仿宋_GB2312" w:eastAsia="仿宋_GB2312"/>
          <w:color w:val="000000" w:themeColor="text1"/>
          <w:sz w:val="32"/>
          <w:szCs w:val="32"/>
          <w14:textFill>
            <w14:solidFill>
              <w14:schemeClr w14:val="tx1"/>
            </w14:solidFill>
          </w14:textFill>
        </w:rPr>
        <w:t>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FAA98D3-6255-4483-ADCE-47931538E2B3}"/>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Roman">
    <w:altName w:val="Times New Roman"/>
    <w:panose1 w:val="00000000000000000000"/>
    <w:charset w:val="00"/>
    <w:family w:val="roman"/>
    <w:pitch w:val="default"/>
    <w:sig w:usb0="00000000" w:usb1="00000000" w:usb2="00000000" w:usb3="00000000" w:csb0="00000000" w:csb1="00000000"/>
    <w:embedRegular r:id="rId2" w:fontKey="{FBD2E794-2D3A-4195-BD54-7A6D298C77F8}"/>
  </w:font>
  <w:font w:name="TimesNewRomanPS-ItalicMT">
    <w:altName w:val="Times New Roman"/>
    <w:panose1 w:val="00000000000000000000"/>
    <w:charset w:val="00"/>
    <w:family w:val="roman"/>
    <w:pitch w:val="default"/>
    <w:sig w:usb0="00000000" w:usb1="00000000" w:usb2="00000000" w:usb3="00000000" w:csb0="00000000" w:csb1="00000000"/>
    <w:embedRegular r:id="rId3" w:fontKey="{BA030C9C-071D-4DEE-A2CC-ED58AEEE9164}"/>
  </w:font>
  <w:font w:name="方正小标宋简体">
    <w:panose1 w:val="02000000000000000000"/>
    <w:charset w:val="86"/>
    <w:family w:val="script"/>
    <w:pitch w:val="default"/>
    <w:sig w:usb0="00000001" w:usb1="08000000" w:usb2="00000000" w:usb3="00000000" w:csb0="00040000" w:csb1="00000000"/>
    <w:embedRegular r:id="rId4" w:fontKey="{E9FBE218-ED45-41BC-B4CF-A5BAEC5B0CFC}"/>
  </w:font>
  <w:font w:name="方正粗黑宋简体">
    <w:altName w:val="宋体"/>
    <w:panose1 w:val="02000000000000000000"/>
    <w:charset w:val="86"/>
    <w:family w:val="auto"/>
    <w:pitch w:val="default"/>
    <w:sig w:usb0="00000000" w:usb1="00000000" w:usb2="00000012" w:usb3="00000000" w:csb0="00040001" w:csb1="00000000"/>
    <w:embedRegular r:id="rId5" w:fontKey="{9752C6D3-38AD-4759-9CA6-0257859BFFFD}"/>
  </w:font>
  <w:font w:name="楷体_GB2312">
    <w:altName w:val="楷体"/>
    <w:panose1 w:val="00000000000000000000"/>
    <w:charset w:val="86"/>
    <w:family w:val="modern"/>
    <w:pitch w:val="default"/>
    <w:sig w:usb0="00000000" w:usb1="00000000" w:usb2="00000010" w:usb3="00000000" w:csb0="00040000" w:csb1="00000000"/>
    <w:embedRegular r:id="rId6" w:fontKey="{FC925630-4A60-4614-9315-EDC8D0F860FA}"/>
  </w:font>
  <w:font w:name="仿宋_GB2312">
    <w:altName w:val="仿宋"/>
    <w:panose1 w:val="00000000000000000000"/>
    <w:charset w:val="86"/>
    <w:family w:val="modern"/>
    <w:pitch w:val="default"/>
    <w:sig w:usb0="00000000" w:usb1="00000000" w:usb2="00000010" w:usb3="00000000" w:csb0="00040000" w:csb1="00000000"/>
    <w:embedRegular r:id="rId7" w:fontKey="{10E5682F-1E8D-49CA-90FF-9CF5D73098D8}"/>
  </w:font>
  <w:font w:name="仿宋">
    <w:panose1 w:val="02010609060101010101"/>
    <w:charset w:val="86"/>
    <w:family w:val="modern"/>
    <w:pitch w:val="default"/>
    <w:sig w:usb0="800002BF" w:usb1="38CF7CFA" w:usb2="00000016" w:usb3="00000000" w:csb0="00040001" w:csb1="00000000"/>
    <w:embedRegular r:id="rId8" w:fontKey="{A7DE04A9-E77B-4E68-B2A1-737143A7F467}"/>
  </w:font>
  <w:font w:name="等线">
    <w:altName w:val="微软雅黑"/>
    <w:panose1 w:val="00000000000000000000"/>
    <w:charset w:val="86"/>
    <w:family w:val="auto"/>
    <w:pitch w:val="default"/>
    <w:sig w:usb0="00000000" w:usb1="00000000" w:usb2="00000016" w:usb3="00000000" w:csb0="0004000F" w:csb1="00000000"/>
    <w:embedRegular r:id="rId9" w:fontKey="{2487CD8B-850D-42D4-9E51-495B72E65478}"/>
  </w:font>
  <w:font w:name="TimesNewRomanPSMT">
    <w:altName w:val="Times New Roman"/>
    <w:panose1 w:val="00000000000000000000"/>
    <w:charset w:val="00"/>
    <w:family w:val="roman"/>
    <w:pitch w:val="default"/>
    <w:sig w:usb0="00000000" w:usb1="00000000" w:usb2="00000000" w:usb3="00000000" w:csb0="00040001" w:csb1="00000000"/>
    <w:embedRegular r:id="rId10" w:fontKey="{DDF607A2-763E-4EFA-9D73-D860D1210AF7}"/>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hiMjFhNjIyYzE0ZWNjMWI5NjJlODEyYTM4NmRiY2EifQ=="/>
  </w:docVars>
  <w:rsids>
    <w:rsidRoot w:val="00172A27"/>
    <w:rsid w:val="00010FFE"/>
    <w:rsid w:val="00033EA9"/>
    <w:rsid w:val="0004174D"/>
    <w:rsid w:val="00055228"/>
    <w:rsid w:val="000954F3"/>
    <w:rsid w:val="000D454E"/>
    <w:rsid w:val="00100396"/>
    <w:rsid w:val="001038A2"/>
    <w:rsid w:val="00114E65"/>
    <w:rsid w:val="001368FD"/>
    <w:rsid w:val="00151A39"/>
    <w:rsid w:val="00153030"/>
    <w:rsid w:val="00157683"/>
    <w:rsid w:val="0016008E"/>
    <w:rsid w:val="00162E7C"/>
    <w:rsid w:val="00163C86"/>
    <w:rsid w:val="00166DE6"/>
    <w:rsid w:val="00172A27"/>
    <w:rsid w:val="00173559"/>
    <w:rsid w:val="0019338F"/>
    <w:rsid w:val="001975F4"/>
    <w:rsid w:val="001A61E5"/>
    <w:rsid w:val="001B5FB7"/>
    <w:rsid w:val="001B6B50"/>
    <w:rsid w:val="001D1626"/>
    <w:rsid w:val="001D6DD0"/>
    <w:rsid w:val="001D73B4"/>
    <w:rsid w:val="001F0835"/>
    <w:rsid w:val="001F318B"/>
    <w:rsid w:val="001F44DC"/>
    <w:rsid w:val="001F623C"/>
    <w:rsid w:val="002066AC"/>
    <w:rsid w:val="00222F9F"/>
    <w:rsid w:val="0023148F"/>
    <w:rsid w:val="00240D23"/>
    <w:rsid w:val="00246033"/>
    <w:rsid w:val="00254D27"/>
    <w:rsid w:val="00257A77"/>
    <w:rsid w:val="0028661E"/>
    <w:rsid w:val="002952A5"/>
    <w:rsid w:val="002C643C"/>
    <w:rsid w:val="002C65E9"/>
    <w:rsid w:val="002D1E3A"/>
    <w:rsid w:val="002F10AB"/>
    <w:rsid w:val="0031498B"/>
    <w:rsid w:val="00361128"/>
    <w:rsid w:val="00397330"/>
    <w:rsid w:val="003A1B14"/>
    <w:rsid w:val="003A298C"/>
    <w:rsid w:val="003E7E29"/>
    <w:rsid w:val="003F0B71"/>
    <w:rsid w:val="003F4B2E"/>
    <w:rsid w:val="00400266"/>
    <w:rsid w:val="0040169D"/>
    <w:rsid w:val="00431CE5"/>
    <w:rsid w:val="0043277C"/>
    <w:rsid w:val="00441F3D"/>
    <w:rsid w:val="00455589"/>
    <w:rsid w:val="00461AD1"/>
    <w:rsid w:val="00461ADB"/>
    <w:rsid w:val="00464866"/>
    <w:rsid w:val="00482C73"/>
    <w:rsid w:val="004D5A26"/>
    <w:rsid w:val="004E0974"/>
    <w:rsid w:val="004F3BA9"/>
    <w:rsid w:val="004F4F83"/>
    <w:rsid w:val="004F52CB"/>
    <w:rsid w:val="00511A0D"/>
    <w:rsid w:val="00522FA7"/>
    <w:rsid w:val="00523DEE"/>
    <w:rsid w:val="005263DB"/>
    <w:rsid w:val="005361C0"/>
    <w:rsid w:val="00542B9E"/>
    <w:rsid w:val="00564B2E"/>
    <w:rsid w:val="005966FF"/>
    <w:rsid w:val="005B50CA"/>
    <w:rsid w:val="005C2BEF"/>
    <w:rsid w:val="005D5E8E"/>
    <w:rsid w:val="005E6871"/>
    <w:rsid w:val="00622050"/>
    <w:rsid w:val="00642804"/>
    <w:rsid w:val="00645ED7"/>
    <w:rsid w:val="006504E6"/>
    <w:rsid w:val="0068146D"/>
    <w:rsid w:val="00681F2C"/>
    <w:rsid w:val="006B5294"/>
    <w:rsid w:val="006C2ED1"/>
    <w:rsid w:val="006C4710"/>
    <w:rsid w:val="006D5B39"/>
    <w:rsid w:val="00712BEE"/>
    <w:rsid w:val="00735291"/>
    <w:rsid w:val="00744B5B"/>
    <w:rsid w:val="007507B9"/>
    <w:rsid w:val="0075143F"/>
    <w:rsid w:val="007635F2"/>
    <w:rsid w:val="007678E0"/>
    <w:rsid w:val="007761D2"/>
    <w:rsid w:val="007849EA"/>
    <w:rsid w:val="007902C8"/>
    <w:rsid w:val="007921BF"/>
    <w:rsid w:val="00795E9A"/>
    <w:rsid w:val="007A1FE9"/>
    <w:rsid w:val="007A7F20"/>
    <w:rsid w:val="007B2653"/>
    <w:rsid w:val="007C57CE"/>
    <w:rsid w:val="007F4AB5"/>
    <w:rsid w:val="00826DBF"/>
    <w:rsid w:val="0085792D"/>
    <w:rsid w:val="00893318"/>
    <w:rsid w:val="00896F23"/>
    <w:rsid w:val="008A5866"/>
    <w:rsid w:val="008A6B0E"/>
    <w:rsid w:val="008B5E44"/>
    <w:rsid w:val="008E15D3"/>
    <w:rsid w:val="008F1311"/>
    <w:rsid w:val="00903111"/>
    <w:rsid w:val="00912429"/>
    <w:rsid w:val="0092007D"/>
    <w:rsid w:val="009214AE"/>
    <w:rsid w:val="00926EE6"/>
    <w:rsid w:val="0093194D"/>
    <w:rsid w:val="0094750D"/>
    <w:rsid w:val="00981D21"/>
    <w:rsid w:val="00984D14"/>
    <w:rsid w:val="009A55B4"/>
    <w:rsid w:val="009B48E9"/>
    <w:rsid w:val="009B5D63"/>
    <w:rsid w:val="009C3B78"/>
    <w:rsid w:val="009E6E8C"/>
    <w:rsid w:val="009F0CB0"/>
    <w:rsid w:val="00A0550A"/>
    <w:rsid w:val="00A1349D"/>
    <w:rsid w:val="00A20BC2"/>
    <w:rsid w:val="00A5600A"/>
    <w:rsid w:val="00A60635"/>
    <w:rsid w:val="00A80CE6"/>
    <w:rsid w:val="00AA1CF5"/>
    <w:rsid w:val="00AC4EC3"/>
    <w:rsid w:val="00B012C3"/>
    <w:rsid w:val="00B24D3D"/>
    <w:rsid w:val="00B335BD"/>
    <w:rsid w:val="00B9023D"/>
    <w:rsid w:val="00B979DA"/>
    <w:rsid w:val="00BA19D5"/>
    <w:rsid w:val="00BC09FF"/>
    <w:rsid w:val="00BE33B8"/>
    <w:rsid w:val="00BE4414"/>
    <w:rsid w:val="00C44D96"/>
    <w:rsid w:val="00C50AA6"/>
    <w:rsid w:val="00C60857"/>
    <w:rsid w:val="00C711AB"/>
    <w:rsid w:val="00C8639C"/>
    <w:rsid w:val="00CA4F8B"/>
    <w:rsid w:val="00CC1203"/>
    <w:rsid w:val="00CD01B5"/>
    <w:rsid w:val="00CE3434"/>
    <w:rsid w:val="00D20CCB"/>
    <w:rsid w:val="00D37D19"/>
    <w:rsid w:val="00D77E77"/>
    <w:rsid w:val="00D84C3D"/>
    <w:rsid w:val="00DB3EFE"/>
    <w:rsid w:val="00DC4694"/>
    <w:rsid w:val="00DE0ECC"/>
    <w:rsid w:val="00E417C1"/>
    <w:rsid w:val="00E464A6"/>
    <w:rsid w:val="00E71A86"/>
    <w:rsid w:val="00E87476"/>
    <w:rsid w:val="00E954EE"/>
    <w:rsid w:val="00EA48B1"/>
    <w:rsid w:val="00EB0C9C"/>
    <w:rsid w:val="00EE3D0E"/>
    <w:rsid w:val="00F06233"/>
    <w:rsid w:val="00F20F71"/>
    <w:rsid w:val="00F92439"/>
    <w:rsid w:val="00FA6AF9"/>
    <w:rsid w:val="00FF1796"/>
    <w:rsid w:val="00FF3B5D"/>
    <w:rsid w:val="01FC17A9"/>
    <w:rsid w:val="055D79C8"/>
    <w:rsid w:val="056913D0"/>
    <w:rsid w:val="06F4463E"/>
    <w:rsid w:val="07285519"/>
    <w:rsid w:val="0B24330E"/>
    <w:rsid w:val="0C1C4AE8"/>
    <w:rsid w:val="0E57273D"/>
    <w:rsid w:val="12F47318"/>
    <w:rsid w:val="13353AFE"/>
    <w:rsid w:val="146C50C9"/>
    <w:rsid w:val="15F65923"/>
    <w:rsid w:val="16BD4357"/>
    <w:rsid w:val="18204D4F"/>
    <w:rsid w:val="19C306DA"/>
    <w:rsid w:val="1A6966D2"/>
    <w:rsid w:val="1B7610E4"/>
    <w:rsid w:val="1D1D16E1"/>
    <w:rsid w:val="1EA1157F"/>
    <w:rsid w:val="1F3F5FDC"/>
    <w:rsid w:val="1F81354A"/>
    <w:rsid w:val="1F8A05A4"/>
    <w:rsid w:val="20361C5C"/>
    <w:rsid w:val="22270769"/>
    <w:rsid w:val="232A17CF"/>
    <w:rsid w:val="246B00EB"/>
    <w:rsid w:val="27774A6B"/>
    <w:rsid w:val="294B4531"/>
    <w:rsid w:val="2CC62748"/>
    <w:rsid w:val="2DEB58D7"/>
    <w:rsid w:val="2FC14EC9"/>
    <w:rsid w:val="33031643"/>
    <w:rsid w:val="341F21F9"/>
    <w:rsid w:val="34C457B9"/>
    <w:rsid w:val="386B6B57"/>
    <w:rsid w:val="3AA34645"/>
    <w:rsid w:val="3C6356DF"/>
    <w:rsid w:val="3D9326D8"/>
    <w:rsid w:val="3FE8283B"/>
    <w:rsid w:val="44E94AE6"/>
    <w:rsid w:val="45267BA9"/>
    <w:rsid w:val="48CB5E7E"/>
    <w:rsid w:val="4AED7C82"/>
    <w:rsid w:val="4B0336E8"/>
    <w:rsid w:val="4BAE4F1A"/>
    <w:rsid w:val="4BBD360E"/>
    <w:rsid w:val="4C12197B"/>
    <w:rsid w:val="4CC136F2"/>
    <w:rsid w:val="4D322037"/>
    <w:rsid w:val="4D61348E"/>
    <w:rsid w:val="4E06353B"/>
    <w:rsid w:val="4E86594E"/>
    <w:rsid w:val="4E8B7CBB"/>
    <w:rsid w:val="4F1177A0"/>
    <w:rsid w:val="501231F7"/>
    <w:rsid w:val="505032F7"/>
    <w:rsid w:val="529761EC"/>
    <w:rsid w:val="558E784D"/>
    <w:rsid w:val="57357EEE"/>
    <w:rsid w:val="57C25365"/>
    <w:rsid w:val="592D7345"/>
    <w:rsid w:val="59415A0C"/>
    <w:rsid w:val="59651619"/>
    <w:rsid w:val="59B07FB1"/>
    <w:rsid w:val="5B536365"/>
    <w:rsid w:val="5B800765"/>
    <w:rsid w:val="5CA70E85"/>
    <w:rsid w:val="5D6F4884"/>
    <w:rsid w:val="5FAD5BFC"/>
    <w:rsid w:val="5FDF6D24"/>
    <w:rsid w:val="61C6465C"/>
    <w:rsid w:val="638248E6"/>
    <w:rsid w:val="653F5C0E"/>
    <w:rsid w:val="667E34CB"/>
    <w:rsid w:val="68805914"/>
    <w:rsid w:val="69DE7BC9"/>
    <w:rsid w:val="6C1F16BF"/>
    <w:rsid w:val="6C8F4A6A"/>
    <w:rsid w:val="6D2D5A57"/>
    <w:rsid w:val="6E6109C2"/>
    <w:rsid w:val="6EFA21FB"/>
    <w:rsid w:val="6F8A50D9"/>
    <w:rsid w:val="6FBC1DA5"/>
    <w:rsid w:val="70975307"/>
    <w:rsid w:val="719B0DE8"/>
    <w:rsid w:val="722577FA"/>
    <w:rsid w:val="77E779FC"/>
    <w:rsid w:val="7AC95903"/>
    <w:rsid w:val="7B1B5AA7"/>
    <w:rsid w:val="7E3808B5"/>
    <w:rsid w:val="7EE9182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1"/>
    <w:qFormat/>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page number"/>
    <w:basedOn w:val="9"/>
    <w:qFormat/>
    <w:uiPriority w:val="0"/>
  </w:style>
  <w:style w:type="character" w:customStyle="1" w:styleId="11">
    <w:name w:val="批注框文本 Char"/>
    <w:link w:val="3"/>
    <w:qFormat/>
    <w:uiPriority w:val="0"/>
    <w:rPr>
      <w:kern w:val="2"/>
      <w:sz w:val="18"/>
      <w:szCs w:val="18"/>
    </w:rPr>
  </w:style>
  <w:style w:type="character" w:customStyle="1" w:styleId="12">
    <w:name w:val="段 Char"/>
    <w:link w:val="13"/>
    <w:qFormat/>
    <w:uiPriority w:val="0"/>
    <w:rPr>
      <w:rFonts w:ascii="宋体"/>
      <w:lang w:val="en-US" w:eastAsia="zh-CN" w:bidi="ar-SA"/>
    </w:rPr>
  </w:style>
  <w:style w:type="paragraph" w:customStyle="1" w:styleId="13">
    <w:name w:val="段"/>
    <w:link w:val="12"/>
    <w:qFormat/>
    <w:uiPriority w:val="0"/>
    <w:pPr>
      <w:widowControl w:val="0"/>
      <w:tabs>
        <w:tab w:val="center" w:pos="4201"/>
        <w:tab w:val="right" w:leader="dot" w:pos="9298"/>
      </w:tabs>
      <w:autoSpaceDE w:val="0"/>
      <w:autoSpaceDN w:val="0"/>
      <w:adjustRightInd w:val="0"/>
      <w:spacing w:line="360" w:lineRule="atLeast"/>
      <w:ind w:firstLine="420" w:firstLineChars="200"/>
      <w:jc w:val="both"/>
      <w:textAlignment w:val="baseline"/>
    </w:pPr>
    <w:rPr>
      <w:rFonts w:ascii="宋体" w:hAnsi="Times New Roman" w:eastAsia="宋体" w:cs="Times New Roman"/>
      <w:lang w:val="en-US" w:eastAsia="zh-CN" w:bidi="ar-SA"/>
    </w:rPr>
  </w:style>
  <w:style w:type="paragraph" w:customStyle="1" w:styleId="14">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15">
    <w:name w:val="一级条标题"/>
    <w:next w:val="13"/>
    <w:qFormat/>
    <w:uiPriority w:val="0"/>
    <w:pPr>
      <w:outlineLvl w:val="2"/>
    </w:pPr>
    <w:rPr>
      <w:rFonts w:ascii="Times New Roman" w:hAnsi="Times New Roman" w:eastAsia="黑体" w:cs="Times New Roman"/>
      <w:sz w:val="21"/>
      <w:szCs w:val="21"/>
      <w:lang w:val="en-US" w:eastAsia="zh-CN" w:bidi="ar-SA"/>
    </w:rPr>
  </w:style>
  <w:style w:type="paragraph" w:styleId="16">
    <w:name w:val="List Paragraph"/>
    <w:basedOn w:val="1"/>
    <w:qFormat/>
    <w:uiPriority w:val="34"/>
    <w:pPr>
      <w:ind w:firstLine="420" w:firstLineChars="200"/>
    </w:pPr>
  </w:style>
  <w:style w:type="character" w:customStyle="1" w:styleId="17">
    <w:name w:val="fontstyle01"/>
    <w:basedOn w:val="9"/>
    <w:qFormat/>
    <w:uiPriority w:val="0"/>
    <w:rPr>
      <w:rFonts w:hint="eastAsia" w:ascii="宋体" w:hAnsi="宋体" w:eastAsia="宋体"/>
      <w:color w:val="242021"/>
      <w:sz w:val="20"/>
      <w:szCs w:val="20"/>
    </w:rPr>
  </w:style>
  <w:style w:type="character" w:customStyle="1" w:styleId="18">
    <w:name w:val="fontstyle11"/>
    <w:basedOn w:val="9"/>
    <w:qFormat/>
    <w:uiPriority w:val="0"/>
    <w:rPr>
      <w:rFonts w:hint="default" w:ascii="Times-Roman" w:hAnsi="Times-Roman"/>
      <w:color w:val="242021"/>
      <w:sz w:val="20"/>
      <w:szCs w:val="20"/>
    </w:rPr>
  </w:style>
  <w:style w:type="character" w:customStyle="1" w:styleId="19">
    <w:name w:val="fontstyle31"/>
    <w:basedOn w:val="9"/>
    <w:qFormat/>
    <w:uiPriority w:val="0"/>
    <w:rPr>
      <w:rFonts w:hint="default" w:ascii="TimesNewRomanPS-ItalicMT" w:hAnsi="TimesNewRomanPS-ItalicMT"/>
      <w:i/>
      <w:iCs/>
      <w:color w:val="242021"/>
      <w:sz w:val="20"/>
      <w:szCs w:val="20"/>
    </w:rPr>
  </w:style>
  <w:style w:type="character" w:customStyle="1" w:styleId="20">
    <w:name w:val="fontstyle21"/>
    <w:basedOn w:val="9"/>
    <w:qFormat/>
    <w:uiPriority w:val="0"/>
    <w:rPr>
      <w:rFonts w:hint="eastAsia" w:ascii="宋体" w:hAnsi="宋体" w:eastAsia="宋体"/>
      <w:color w:val="242021"/>
      <w:sz w:val="20"/>
      <w:szCs w:val="20"/>
    </w:rPr>
  </w:style>
  <w:style w:type="paragraph" w:customStyle="1" w:styleId="21">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9</Pages>
  <Words>3458</Words>
  <Characters>3762</Characters>
  <Lines>32</Lines>
  <Paragraphs>9</Paragraphs>
  <TotalTime>9</TotalTime>
  <ScaleCrop>false</ScaleCrop>
  <LinksUpToDate>false</LinksUpToDate>
  <CharactersWithSpaces>3790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2018-07-18T01:09:00Z</dcterms:created>
  <dc:creator>Gabriel</dc:creator>
  <cp:lastModifiedBy>陈星瞳</cp:lastModifiedBy>
  <cp:lastPrinted>2020-11-11T09:48:00Z</cp:lastPrinted>
  <dcterms:modified xsi:type="dcterms:W3CDTF">2024-11-07T07:02:06Z</dcterms:modified>
  <dc:title>食品安全国家标准编制说明模板</dc:title>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17C2114801664DD8BCF45191F86DCA22_13</vt:lpwstr>
  </property>
</Properties>
</file>